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7</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万溪核心区二期153号三期、153号四期、41号道路建设</w:t>
      </w:r>
      <w:r>
        <w:rPr>
          <w:rFonts w:hint="eastAsia" w:ascii="方正小标宋简体" w:hAnsi="方正小标宋简体" w:eastAsia="方正小标宋简体" w:cs="方正小标宋简体"/>
          <w:sz w:val="44"/>
          <w:szCs w:val="44"/>
        </w:rPr>
        <w:t>项目支出绩效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w:t>
      </w:r>
      <w:bookmarkStart w:id="2" w:name="_GoBack"/>
      <w:bookmarkEnd w:id="2"/>
      <w:r>
        <w:rPr>
          <w:rFonts w:hint="eastAsia" w:ascii="黑体" w:eastAsia="黑体"/>
          <w:szCs w:val="32"/>
        </w:rPr>
        <w:t>况</w:t>
      </w:r>
    </w:p>
    <w:p>
      <w:pPr>
        <w:ind w:firstLine="594" w:firstLineChars="200"/>
        <w:outlineLvl w:val="0"/>
        <w:rPr>
          <w:rFonts w:hint="eastAsia" w:ascii="仿宋_GB2312" w:hAnsi="仿宋_GB2312" w:eastAsia="仿宋_GB2312" w:cs="仿宋_GB2312"/>
          <w:sz w:val="32"/>
          <w:szCs w:val="32"/>
        </w:rPr>
      </w:pPr>
      <w:bookmarkStart w:id="0" w:name="_Toc30514894"/>
      <w:r>
        <w:rPr>
          <w:rFonts w:hint="eastAsia" w:ascii="仿宋_GB2312" w:hAnsi="仿宋_GB2312" w:eastAsia="仿宋_GB2312" w:cs="仿宋_GB2312"/>
          <w:sz w:val="32"/>
          <w:szCs w:val="32"/>
        </w:rPr>
        <w:t>呈贡信息产业园区万溪核心区二期15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号三期、</w:t>
      </w:r>
      <w:r>
        <w:rPr>
          <w:rFonts w:hint="eastAsia" w:ascii="仿宋_GB2312" w:hAnsi="仿宋_GB2312" w:eastAsia="仿宋_GB2312" w:cs="仿宋_GB2312"/>
          <w:sz w:val="32"/>
          <w:szCs w:val="32"/>
          <w:lang w:val="en-US" w:eastAsia="zh-CN"/>
        </w:rPr>
        <w:t>153号四期、41</w:t>
      </w:r>
      <w:r>
        <w:rPr>
          <w:rFonts w:hint="eastAsia" w:ascii="仿宋_GB2312" w:hAnsi="仿宋_GB2312" w:eastAsia="仿宋_GB2312" w:cs="仿宋_GB2312"/>
          <w:sz w:val="32"/>
          <w:szCs w:val="32"/>
        </w:rPr>
        <w:t>号二期道路建设项目位于昆明市呈贡区昆明呈贡信息产业园区万溪核心区二期。</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color w:val="000000"/>
          <w:kern w:val="0"/>
          <w:sz w:val="32"/>
          <w:szCs w:val="32"/>
          <w:lang w:val="en-US" w:eastAsia="zh-CN" w:bidi="ar"/>
        </w:rPr>
        <w:t>153号三期道路南起现状43号路，北至万青路，道路全长713.045米，为城市次干路，红线宽度为30米，双向四车道，设计车速40Km/h。153号路四期南起万青路与153号路三期交叉口，北至41号路，道路全长1623.254米，为城市主干路，红线宽度为40米，双向六车道，设计车速50Km/h。41号道路西起152 号道路二期，东至153号道路四期，道路全长430.051m，为城市次干路，红线宽度为30m，双向四车道，设计车速采用40km/h。道路等级为城市次干路。主要建设内容</w:t>
      </w:r>
      <w:r>
        <w:rPr>
          <w:rFonts w:hint="eastAsia" w:ascii="仿宋_GB2312" w:hAnsi="仿宋_GB2312" w:eastAsia="仿宋_GB2312" w:cs="仿宋_GB2312"/>
          <w:sz w:val="32"/>
          <w:szCs w:val="32"/>
        </w:rPr>
        <w:t>：道路、交通、给水、排水、中水、燃气、电力、电信、照明、绿化、管线综合、海绵化设计等。</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spacing w:line="580" w:lineRule="exact"/>
        <w:ind w:firstLine="594" w:firstLineChars="200"/>
        <w:rPr>
          <w:rFonts w:hint="eastAsia" w:ascii="仿宋_GB2312" w:hAnsi="仿宋_GB2312" w:cs="仿宋_GB2312"/>
          <w:b w:val="0"/>
          <w:bCs w:val="0"/>
          <w:szCs w:val="32"/>
        </w:rPr>
      </w:pPr>
      <w:r>
        <w:rPr>
          <w:rFonts w:hint="eastAsia" w:ascii="仿宋_GB2312" w:hAnsi="仿宋_GB2312" w:cs="仿宋_GB2312"/>
          <w:b/>
          <w:bCs/>
          <w:szCs w:val="32"/>
        </w:rPr>
        <w:t>项目总体目标：</w:t>
      </w:r>
      <w:r>
        <w:rPr>
          <w:rFonts w:hint="eastAsia" w:ascii="仿宋_GB2312" w:hAnsi="仿宋_GB2312" w:cs="仿宋_GB2312"/>
          <w:b w:val="0"/>
          <w:bCs w:val="0"/>
          <w:szCs w:val="32"/>
        </w:rPr>
        <w:t>完成呈贡信息产业园区万溪核心区二期153号三期、四期、41号二期道路建设项目建设工作，其中153号三</w:t>
      </w:r>
    </w:p>
    <w:p>
      <w:pPr>
        <w:spacing w:line="580" w:lineRule="exact"/>
        <w:rPr>
          <w:rFonts w:hint="eastAsia" w:ascii="仿宋_GB2312" w:hAnsi="仿宋_GB2312" w:cs="仿宋_GB2312"/>
          <w:b w:val="0"/>
          <w:bCs w:val="0"/>
          <w:szCs w:val="32"/>
        </w:rPr>
      </w:pPr>
      <w:r>
        <w:rPr>
          <w:rFonts w:hint="eastAsia" w:ascii="仿宋_GB2312" w:hAnsi="仿宋_GB2312" w:cs="仿宋_GB2312"/>
          <w:b w:val="0"/>
          <w:bCs w:val="0"/>
          <w:szCs w:val="32"/>
        </w:rPr>
        <w:t>期道路为城市次干路，红线宽度为30米，双向四车道，道路全长713.045米，设计车速采用40km/h。153号四期道路为城市主干路，双向六车道，红线宽度为40米，道路全长1623.254米，设计车速采用50km/h。41号道路为城市次干路，红线宽度为30m，双向四车道，道路全长430.051m，设计车速采用40km/h；主要建设内容：道路、交通、给水、排水、中水、燃气、电力、电信、照明、绿化、管线综合、海绵化设计等。</w:t>
      </w:r>
    </w:p>
    <w:p>
      <w:pPr>
        <w:spacing w:line="580" w:lineRule="exact"/>
        <w:ind w:firstLine="594" w:firstLineChars="200"/>
        <w:rPr>
          <w:rFonts w:hint="eastAsia" w:ascii="仿宋_GB2312" w:hAnsi="仿宋_GB2312" w:cs="仿宋_GB2312"/>
          <w:b w:val="0"/>
          <w:bCs w:val="0"/>
          <w:szCs w:val="32"/>
        </w:rPr>
      </w:pPr>
      <w:r>
        <w:rPr>
          <w:rFonts w:hint="eastAsia" w:ascii="仿宋_GB2312" w:hAnsi="仿宋_GB2312" w:cs="仿宋_GB2312"/>
          <w:b/>
          <w:bCs/>
          <w:szCs w:val="32"/>
        </w:rPr>
        <w:t>项目绩效阶段性目标（2022年度目标）</w:t>
      </w:r>
      <w:r>
        <w:rPr>
          <w:rFonts w:hint="eastAsia" w:ascii="仿宋_GB2312" w:hAnsi="仿宋_GB2312" w:cs="仿宋_GB2312"/>
          <w:b/>
          <w:bCs/>
          <w:szCs w:val="32"/>
          <w:lang w:eastAsia="zh-CN"/>
        </w:rPr>
        <w:t>：</w:t>
      </w:r>
      <w:r>
        <w:rPr>
          <w:rFonts w:hint="eastAsia" w:ascii="仿宋_GB2312" w:hAnsi="仿宋_GB2312" w:cs="仿宋_GB2312"/>
          <w:b w:val="0"/>
          <w:bCs w:val="0"/>
          <w:szCs w:val="32"/>
        </w:rPr>
        <w:t>取得规划道路红线、可行性研究报告批复；推进环评、水保、地灾压覆矿查询、建设项目选址意见书可证等前期手续。</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outlineLvl w:val="0"/>
        <w:rPr>
          <w:rFonts w:hint="eastAsia" w:ascii="仿宋_GB2312"/>
          <w:szCs w:val="32"/>
          <w:lang w:val="en-US" w:eastAsia="zh-CN"/>
        </w:rPr>
      </w:pPr>
      <w:r>
        <w:rPr>
          <w:rFonts w:hint="eastAsia" w:ascii="仿宋_GB2312" w:hAnsi="仿宋_GB2312" w:eastAsia="仿宋_GB2312" w:cs="仿宋_GB2312"/>
          <w:sz w:val="32"/>
          <w:szCs w:val="32"/>
          <w:highlight w:val="none"/>
          <w:lang w:val="en-US" w:eastAsia="zh-CN"/>
        </w:rPr>
        <w:t>我单位已足额拨付了该项目资金</w:t>
      </w:r>
      <w:r>
        <w:rPr>
          <w:rFonts w:hint="eastAsia" w:ascii="仿宋_GB2312" w:hAnsi="仿宋_GB2312" w:cs="仿宋_GB2312"/>
          <w:szCs w:val="32"/>
          <w:lang w:val="en-US" w:eastAsia="zh-CN"/>
        </w:rPr>
        <w:t>200</w:t>
      </w:r>
      <w:r>
        <w:rPr>
          <w:rFonts w:hint="eastAsia" w:ascii="仿宋_GB2312" w:hAnsi="仿宋_GB2312" w:eastAsia="仿宋_GB2312" w:cs="仿宋_GB2312"/>
          <w:sz w:val="32"/>
          <w:szCs w:val="32"/>
          <w:highlight w:val="none"/>
          <w:lang w:val="en-US" w:eastAsia="zh-CN"/>
        </w:rPr>
        <w:t>万元至昆明市智慧城市建设投资有限公司，无滞留、挤占、挪用等违法乱纪情况，资金到位率100%。</w:t>
      </w: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153号四期</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号二期道路建设项目</w:t>
      </w:r>
      <w:r>
        <w:rPr>
          <w:rFonts w:hint="eastAsia" w:ascii="仿宋_GB2312" w:hAnsi="Times New Roman" w:cs="Times New Roman"/>
          <w:szCs w:val="32"/>
          <w:lang w:val="en-US" w:eastAsia="zh-CN"/>
        </w:rPr>
        <w:t>已完成了可行性研究报告，取得了可研批复。支付项目前期可行性研究报告编制费用</w:t>
      </w:r>
      <w:r>
        <w:rPr>
          <w:rFonts w:hint="eastAsia" w:ascii="仿宋_GB2312"/>
          <w:szCs w:val="32"/>
          <w:lang w:val="en-US" w:eastAsia="zh-CN"/>
        </w:rPr>
        <w:t>24.72万元，其中</w:t>
      </w:r>
      <w:r>
        <w:rPr>
          <w:rFonts w:hint="eastAsia" w:ascii="仿宋_GB2312" w:hAnsi="Times New Roman" w:cs="Times New Roman"/>
          <w:szCs w:val="32"/>
        </w:rPr>
        <w:t>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w:t>
      </w:r>
      <w:r>
        <w:rPr>
          <w:rFonts w:hint="eastAsia" w:ascii="仿宋_GB2312" w:hAnsi="Times New Roman" w:cs="Times New Roman"/>
          <w:szCs w:val="32"/>
          <w:lang w:val="en-US" w:eastAsia="zh-CN"/>
        </w:rPr>
        <w:t>项目前期可行性研究报告编制费用为12.3万元，153号四期</w:t>
      </w:r>
      <w:r>
        <w:rPr>
          <w:rFonts w:hint="eastAsia" w:ascii="仿宋_GB2312" w:hAnsi="Times New Roman" w:cs="Times New Roman"/>
          <w:szCs w:val="32"/>
        </w:rPr>
        <w:t>道路</w:t>
      </w:r>
      <w:r>
        <w:rPr>
          <w:rFonts w:hint="eastAsia" w:ascii="仿宋_GB2312" w:hAnsi="Times New Roman" w:cs="Times New Roman"/>
          <w:szCs w:val="32"/>
          <w:lang w:val="en-US" w:eastAsia="zh-CN"/>
        </w:rPr>
        <w:t>项目前期可行性研究报告编制费用为12.42万元</w:t>
      </w:r>
      <w:r>
        <w:rPr>
          <w:rFonts w:hint="eastAsia" w:ascii="仿宋_GB2312"/>
          <w:szCs w:val="32"/>
          <w:lang w:val="en-US" w:eastAsia="zh-CN"/>
        </w:rPr>
        <w:t>。</w:t>
      </w:r>
    </w:p>
    <w:p>
      <w:pPr>
        <w:numPr>
          <w:ilvl w:val="0"/>
          <w:numId w:val="0"/>
        </w:numPr>
        <w:ind w:firstLine="594" w:firstLineChars="200"/>
        <w:outlineLvl w:val="0"/>
        <w:rPr>
          <w:rFonts w:hint="default" w:ascii="仿宋_GB2312"/>
          <w:szCs w:val="32"/>
          <w:lang w:val="en-US" w:eastAsia="zh-CN"/>
        </w:rPr>
      </w:pP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153号四期</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号二期道路建设项目</w:t>
      </w:r>
      <w:r>
        <w:rPr>
          <w:rFonts w:hint="eastAsia" w:ascii="仿宋_GB2312" w:hAnsi="Times New Roman" w:cs="Times New Roman"/>
          <w:szCs w:val="32"/>
          <w:lang w:val="en-US" w:eastAsia="zh-CN"/>
        </w:rPr>
        <w:t>已完成了初步设计文件，支付项目前期设计费预付款117.961万元，</w:t>
      </w:r>
      <w:r>
        <w:rPr>
          <w:rFonts w:hint="eastAsia" w:ascii="仿宋_GB2312"/>
          <w:szCs w:val="32"/>
          <w:lang w:val="en-US" w:eastAsia="zh-CN"/>
        </w:rPr>
        <w:t>其中</w:t>
      </w:r>
      <w:r>
        <w:rPr>
          <w:rFonts w:hint="eastAsia" w:ascii="仿宋_GB2312" w:hAnsi="Times New Roman" w:cs="Times New Roman"/>
          <w:szCs w:val="32"/>
        </w:rPr>
        <w:t>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w:t>
      </w:r>
      <w:r>
        <w:rPr>
          <w:rFonts w:hint="eastAsia" w:ascii="仿宋_GB2312" w:hAnsi="Times New Roman" w:cs="Times New Roman"/>
          <w:szCs w:val="32"/>
          <w:lang w:val="en-US" w:eastAsia="zh-CN"/>
        </w:rPr>
        <w:t>项目前期设计费预付款为38.491万元，153号四期</w:t>
      </w:r>
      <w:r>
        <w:rPr>
          <w:rFonts w:hint="eastAsia" w:ascii="仿宋_GB2312" w:hAnsi="Times New Roman" w:cs="Times New Roman"/>
          <w:szCs w:val="32"/>
        </w:rPr>
        <w:t>道路</w:t>
      </w:r>
      <w:r>
        <w:rPr>
          <w:rFonts w:hint="eastAsia" w:ascii="仿宋_GB2312" w:hAnsi="Times New Roman" w:cs="Times New Roman"/>
          <w:szCs w:val="32"/>
          <w:lang w:val="en-US" w:eastAsia="zh-CN"/>
        </w:rPr>
        <w:t>项目设计费预付款为79.47万元</w:t>
      </w:r>
      <w:r>
        <w:rPr>
          <w:rFonts w:hint="eastAsia" w:ascii="仿宋_GB2312"/>
          <w:szCs w:val="32"/>
          <w:lang w:val="en-US" w:eastAsia="zh-CN"/>
        </w:rPr>
        <w:t>。</w:t>
      </w:r>
    </w:p>
    <w:p>
      <w:pPr>
        <w:numPr>
          <w:ilvl w:val="0"/>
          <w:numId w:val="0"/>
        </w:numPr>
        <w:ind w:firstLine="594" w:firstLineChars="200"/>
        <w:outlineLvl w:val="0"/>
        <w:rPr>
          <w:rFonts w:hint="default" w:ascii="仿宋_GB2312"/>
          <w:szCs w:val="32"/>
          <w:lang w:val="en-US" w:eastAsia="zh-CN"/>
        </w:rPr>
      </w:pPr>
      <w:r>
        <w:rPr>
          <w:rFonts w:hint="eastAsia" w:ascii="仿宋_GB2312"/>
          <w:szCs w:val="32"/>
          <w:lang w:val="en-US" w:eastAsia="zh-CN"/>
        </w:rPr>
        <w:t>截止2023年3月项目总计支出前期费用142.681万元，支付比例为71.34%，结余57.319万元。</w:t>
      </w:r>
    </w:p>
    <w:p>
      <w:pPr>
        <w:numPr>
          <w:ilvl w:val="0"/>
          <w:numId w:val="0"/>
        </w:numPr>
        <w:ind w:firstLine="594" w:firstLineChars="200"/>
        <w:outlineLvl w:val="0"/>
        <w:rPr>
          <w:rFonts w:hint="eastAsia" w:ascii="仿宋_GB2312"/>
          <w:szCs w:val="32"/>
          <w:lang w:val="en-US" w:eastAsia="zh-CN"/>
        </w:rPr>
      </w:pPr>
      <w:r>
        <w:rPr>
          <w:rFonts w:hint="eastAsia" w:ascii="仿宋_GB2312"/>
          <w:color w:val="000000" w:themeColor="text1"/>
          <w:szCs w:val="32"/>
          <w:lang w:val="en-US" w:eastAsia="zh-CN"/>
          <w14:textFill>
            <w14:solidFill>
              <w14:schemeClr w14:val="tx1"/>
            </w14:solidFill>
          </w14:textFill>
        </w:rPr>
        <w:t>项目管</w:t>
      </w:r>
      <w:r>
        <w:rPr>
          <w:rFonts w:hint="eastAsia" w:ascii="仿宋_GB2312"/>
          <w:szCs w:val="32"/>
          <w:lang w:val="en-US" w:eastAsia="zh-CN"/>
        </w:rPr>
        <w:t>理制度、资金管理、费用支出等制度健全，严格执行相关管理制度；制度执行严格，会计核算规范，截止2023年3月项目支出了前期可行性研究报告及初步设计费用支出依据合规，无虚列项目支出情况；无截留挤占挪用情况；无超标准开支情况；无超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numPr>
          <w:ilvl w:val="0"/>
          <w:numId w:val="0"/>
        </w:numPr>
        <w:ind w:firstLine="594" w:firstLineChars="200"/>
        <w:outlineLvl w:val="0"/>
        <w:rPr>
          <w:rFonts w:hint="eastAsia" w:ascii="仿宋_GB2312" w:hAnsi="Times New Roman" w:cs="Times New Roman"/>
          <w:szCs w:val="32"/>
          <w:lang w:val="en-US" w:eastAsia="zh-CN"/>
        </w:rPr>
      </w:pPr>
      <w:r>
        <w:rPr>
          <w:rFonts w:hint="eastAsia" w:ascii="仿宋_GB2312" w:hAnsi="仿宋_GB2312" w:cs="仿宋_GB2312"/>
          <w:color w:val="000000" w:themeColor="text1"/>
          <w:szCs w:val="32"/>
          <w:lang w:val="en-US" w:eastAsia="zh-CN"/>
          <w14:textFill>
            <w14:solidFill>
              <w14:schemeClr w14:val="tx1"/>
            </w14:solidFill>
          </w14:textFill>
        </w:rPr>
        <w:t>1.项目前期准备：</w:t>
      </w: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153号四期</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号二期道路建设项目</w:t>
      </w:r>
      <w:r>
        <w:rPr>
          <w:rFonts w:hint="eastAsia" w:ascii="仿宋_GB2312" w:hAnsi="Times New Roman" w:cs="Times New Roman"/>
          <w:szCs w:val="32"/>
          <w:lang w:val="en-US" w:eastAsia="zh-CN"/>
        </w:rPr>
        <w:t>严格按照项目建设基本程序开展了项目可行性研究报报告报送发改部门取得可研批复，规划方案报送自然资源部门取得了国土意见、规划意见、道路规划红线、矿产压覆查询意见，开展了地质勘察工作取得地质勘察报告，编制了项目初步设计文件报送行政审批部门审查取得了初步设计批复，截止2023年3月项目正常办理征地拆迁、施工图设计等前期工作。</w:t>
      </w:r>
    </w:p>
    <w:p>
      <w:pPr>
        <w:numPr>
          <w:ilvl w:val="0"/>
          <w:numId w:val="0"/>
        </w:numPr>
        <w:ind w:leftChars="200"/>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招投标：项目严格按照招投标法及招投标实施条例相关法规</w:t>
      </w:r>
    </w:p>
    <w:p>
      <w:pPr>
        <w:numPr>
          <w:ilvl w:val="0"/>
          <w:numId w:val="0"/>
        </w:numPr>
        <w:outlineLvl w:val="0"/>
        <w:rPr>
          <w:rFonts w:hint="eastAsia" w:ascii="仿宋_GB2312" w:hAnsi="仿宋_GB2312" w:eastAsia="仿宋_GB2312" w:cs="仿宋_GB2312"/>
          <w:szCs w:val="32"/>
          <w:lang w:val="en-US" w:eastAsia="zh-CN"/>
        </w:rPr>
      </w:pPr>
      <w:r>
        <w:rPr>
          <w:rFonts w:hint="eastAsia" w:ascii="仿宋_GB2312" w:hAnsi="Times New Roman" w:cs="Times New Roman"/>
          <w:szCs w:val="32"/>
          <w:lang w:val="en-US" w:eastAsia="zh-CN"/>
        </w:rPr>
        <w:t>要求开展了项目招投标工作。其中</w:t>
      </w: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号二期道路建设项目</w:t>
      </w:r>
      <w:r>
        <w:rPr>
          <w:rFonts w:hint="eastAsia" w:ascii="仿宋_GB2312" w:hAnsi="Times New Roman" w:cs="Times New Roman"/>
          <w:szCs w:val="32"/>
          <w:lang w:val="en-US" w:eastAsia="zh-CN"/>
        </w:rPr>
        <w:t>于2020年1月7日在昆明市公共资源交易中心进行了公开招标确定了勘察、设计、采购、施工（EPC）总承包单位，于2020年3月2日在昆明市公共资源交易中心进行了公开招标确定了造价单位，于2020年6月22日在昆明市公共资源交易中心进行了公开招标确定了监理单位；</w:t>
      </w: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w:t>
      </w:r>
      <w:r>
        <w:rPr>
          <w:rFonts w:hint="eastAsia" w:ascii="仿宋_GB2312" w:hAnsi="Times New Roman" w:cs="Times New Roman"/>
          <w:szCs w:val="32"/>
          <w:lang w:val="en-US" w:eastAsia="zh-CN"/>
        </w:rPr>
        <w:t>四</w:t>
      </w:r>
      <w:r>
        <w:rPr>
          <w:rFonts w:hint="eastAsia" w:ascii="仿宋_GB2312" w:hAnsi="Times New Roman" w:cs="Times New Roman"/>
          <w:szCs w:val="32"/>
        </w:rPr>
        <w:t>期道路建设项目</w:t>
      </w:r>
      <w:r>
        <w:rPr>
          <w:rFonts w:hint="eastAsia" w:ascii="仿宋_GB2312" w:hAnsi="Times New Roman" w:cs="Times New Roman"/>
          <w:szCs w:val="32"/>
          <w:lang w:val="en-US" w:eastAsia="zh-CN"/>
        </w:rPr>
        <w:t>于2022年10月19日在昆明市公共资源交易中心进行了公开招标确定了勘察、设计单位，于2022年10月19日在昆明市公共资源交易中心进行了公开招标确定了造价单位，于2022年10月19日在昆明市公共资源交易中心进行了公开招标确定了监理单位</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1.数量指标：</w:t>
      </w:r>
      <w:r>
        <w:rPr>
          <w:rFonts w:hint="eastAsia" w:ascii="仿宋_GB2312"/>
          <w:szCs w:val="32"/>
          <w:lang w:eastAsia="zh-CN"/>
        </w:rPr>
        <w:t>取得规划道路红线、可行性研究报告批复；推进环评、水保、地灾压覆矿查询、建设项目选址意见书可证等前期手续。</w:t>
      </w:r>
      <w:r>
        <w:rPr>
          <w:rFonts w:hint="eastAsia" w:ascii="仿宋_GB2312"/>
          <w:szCs w:val="32"/>
          <w:lang w:val="en-US" w:eastAsia="zh-CN"/>
        </w:rPr>
        <w:t>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环境影响报告表批复</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2.质量指标：项目按质按量完成项目前期手续办理满足项目合规性。截止2023年3月已取得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r>
        <w:rPr>
          <w:rFonts w:hint="eastAsia" w:ascii="仿宋_GB2312"/>
          <w:szCs w:val="32"/>
          <w:lang w:val="en-US" w:eastAsia="zh-CN"/>
        </w:rPr>
        <w:t>各前期手续符合合规性质量要求。</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3.时效指标：2022年项目已取得</w:t>
      </w:r>
      <w:r>
        <w:rPr>
          <w:rFonts w:hint="eastAsia" w:ascii="仿宋_GB2312"/>
          <w:szCs w:val="32"/>
          <w:lang w:eastAsia="zh-CN"/>
        </w:rPr>
        <w:t>取得</w:t>
      </w:r>
      <w:r>
        <w:rPr>
          <w:rFonts w:hint="eastAsia" w:ascii="仿宋_GB2312"/>
          <w:szCs w:val="32"/>
          <w:lang w:val="en-US" w:eastAsia="zh-CN"/>
        </w:rPr>
        <w:t>规划意见、国土意见、</w:t>
      </w:r>
      <w:r>
        <w:rPr>
          <w:rFonts w:hint="eastAsia" w:ascii="仿宋_GB2312"/>
          <w:szCs w:val="32"/>
          <w:lang w:eastAsia="zh-CN"/>
        </w:rPr>
        <w:t>规划道路红线、可行性研究报告批复；推进</w:t>
      </w:r>
      <w:r>
        <w:rPr>
          <w:rFonts w:hint="eastAsia" w:ascii="仿宋_GB2312"/>
          <w:szCs w:val="32"/>
          <w:lang w:val="en-US" w:eastAsia="zh-CN"/>
        </w:rPr>
        <w:t>取得</w:t>
      </w:r>
      <w:r>
        <w:rPr>
          <w:rFonts w:hint="eastAsia" w:ascii="仿宋_GB2312"/>
          <w:szCs w:val="32"/>
          <w:lang w:eastAsia="zh-CN"/>
        </w:rPr>
        <w:t>环评</w:t>
      </w:r>
      <w:r>
        <w:rPr>
          <w:rFonts w:hint="eastAsia" w:ascii="仿宋_GB2312"/>
          <w:szCs w:val="32"/>
          <w:lang w:val="en-US" w:eastAsia="zh-CN"/>
        </w:rPr>
        <w:t>登记表</w:t>
      </w:r>
      <w:r>
        <w:rPr>
          <w:rFonts w:hint="eastAsia" w:ascii="仿宋_GB2312"/>
          <w:szCs w:val="32"/>
          <w:lang w:eastAsia="zh-CN"/>
        </w:rPr>
        <w:t>、</w:t>
      </w:r>
      <w:r>
        <w:rPr>
          <w:rFonts w:hint="eastAsia" w:ascii="仿宋_GB2312"/>
          <w:szCs w:val="32"/>
          <w:lang w:val="en-US" w:eastAsia="zh-CN"/>
        </w:rPr>
        <w:t>环境影响报告表批复</w:t>
      </w:r>
      <w:r>
        <w:rPr>
          <w:rFonts w:hint="eastAsia" w:ascii="仿宋_GB2312"/>
          <w:szCs w:val="32"/>
          <w:lang w:eastAsia="zh-CN"/>
        </w:rPr>
        <w:t>、</w:t>
      </w:r>
      <w:r>
        <w:rPr>
          <w:rFonts w:hint="eastAsia" w:ascii="仿宋_GB2312"/>
          <w:szCs w:val="32"/>
          <w:lang w:val="en-US" w:eastAsia="zh-CN"/>
        </w:rPr>
        <w:t>矿产</w:t>
      </w:r>
      <w:r>
        <w:rPr>
          <w:rFonts w:hint="eastAsia" w:ascii="仿宋_GB2312"/>
          <w:szCs w:val="32"/>
          <w:lang w:eastAsia="zh-CN"/>
        </w:rPr>
        <w:t>压覆矿查询、</w:t>
      </w:r>
      <w:r>
        <w:rPr>
          <w:rFonts w:hint="eastAsia" w:ascii="仿宋_GB2312"/>
          <w:szCs w:val="32"/>
          <w:lang w:val="en-US" w:eastAsia="zh-CN"/>
        </w:rPr>
        <w:t>初步设计批复</w:t>
      </w:r>
      <w:r>
        <w:rPr>
          <w:rFonts w:hint="eastAsia" w:ascii="仿宋_GB2312"/>
          <w:szCs w:val="32"/>
          <w:lang w:eastAsia="zh-CN"/>
        </w:rPr>
        <w:t>等前期手续。</w:t>
      </w:r>
    </w:p>
    <w:p>
      <w:pPr>
        <w:numPr>
          <w:ilvl w:val="0"/>
          <w:numId w:val="0"/>
        </w:numPr>
        <w:ind w:firstLine="594" w:firstLineChars="200"/>
        <w:rPr>
          <w:rFonts w:hint="eastAsia" w:ascii="仿宋_GB2312"/>
          <w:szCs w:val="32"/>
          <w:lang w:val="en-US" w:eastAsia="zh-CN"/>
        </w:rPr>
      </w:pPr>
      <w:r>
        <w:rPr>
          <w:rFonts w:hint="eastAsia" w:ascii="仿宋_GB2312"/>
          <w:szCs w:val="32"/>
          <w:lang w:val="en-US" w:eastAsia="zh-CN"/>
        </w:rPr>
        <w:t>4.经济效益指标：</w:t>
      </w:r>
      <w:r>
        <w:rPr>
          <w:rFonts w:hint="eastAsia" w:ascii="仿宋_GB2312"/>
          <w:szCs w:val="32"/>
          <w:lang w:eastAsia="zh-CN"/>
        </w:rPr>
        <w:t>取得规划道路红线、可行性研究报告批复；推进环评、水保、地灾压覆矿查询、建设项目选址意见书可证等前期手续。</w:t>
      </w:r>
      <w:r>
        <w:rPr>
          <w:rFonts w:hint="eastAsia" w:ascii="仿宋_GB2312"/>
          <w:szCs w:val="32"/>
          <w:lang w:val="en-US" w:eastAsia="zh-CN"/>
        </w:rPr>
        <w:t>项目前期工作为园区道路建设提升园区整体形象，为园区招商引资工作提供合规性基础保障。</w:t>
      </w:r>
    </w:p>
    <w:p>
      <w:pPr>
        <w:numPr>
          <w:ilvl w:val="0"/>
          <w:numId w:val="0"/>
        </w:numPr>
        <w:ind w:firstLine="594" w:firstLineChars="200"/>
        <w:rPr>
          <w:rFonts w:hint="eastAsia" w:ascii="仿宋_GB2312"/>
          <w:szCs w:val="32"/>
          <w:lang w:eastAsia="zh-CN"/>
        </w:rPr>
      </w:pPr>
      <w:r>
        <w:rPr>
          <w:rFonts w:hint="eastAsia" w:ascii="仿宋_GB2312"/>
          <w:szCs w:val="32"/>
          <w:lang w:val="en-US" w:eastAsia="zh-CN"/>
        </w:rPr>
        <w:t>5.可持续影响指标：</w:t>
      </w:r>
      <w:r>
        <w:rPr>
          <w:rFonts w:hint="eastAsia" w:ascii="仿宋_GB2312"/>
          <w:szCs w:val="32"/>
          <w:lang w:eastAsia="zh-CN"/>
        </w:rPr>
        <w:t>取得规划道路红线、可行性研究报告批复；推进环评、水保、地灾压覆矿查询、建设项目选址意见书可证等前期手续。</w:t>
      </w:r>
      <w:r>
        <w:rPr>
          <w:rFonts w:hint="eastAsia" w:ascii="仿宋_GB2312"/>
          <w:szCs w:val="32"/>
          <w:lang w:val="en-US" w:eastAsia="zh-CN"/>
        </w:rPr>
        <w:t>为园区道路建设对园区可持续发展提供合规性基础保障。</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3"/>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3"/>
        <w:gridCol w:w="5"/>
        <w:gridCol w:w="446"/>
        <w:gridCol w:w="1964"/>
        <w:gridCol w:w="2185"/>
        <w:gridCol w:w="2168"/>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9"/>
            <w:tcBorders>
              <w:top w:val="nil"/>
              <w:left w:val="nil"/>
              <w:right w:val="nil"/>
            </w:tcBorders>
            <w:vAlign w:val="center"/>
          </w:tcPr>
          <w:p>
            <w:pPr>
              <w:widowControl/>
              <w:spacing w:beforeLines="50" w:afterLines="50"/>
              <w:jc w:val="center"/>
              <w:rPr>
                <w:rFonts w:ascii="黑体" w:hAnsi="宋体" w:eastAsia="黑体" w:cs="宋体"/>
                <w:color w:val="auto"/>
                <w:kern w:val="0"/>
                <w:sz w:val="36"/>
                <w:szCs w:val="36"/>
              </w:rPr>
            </w:pPr>
            <w:r>
              <w:rPr>
                <w:rFonts w:hint="eastAsia" w:ascii="黑体" w:hAnsi="宋体" w:eastAsia="黑体" w:cs="宋体"/>
                <w:color w:val="auto"/>
                <w:kern w:val="0"/>
                <w:sz w:val="36"/>
                <w:szCs w:val="36"/>
              </w:rPr>
              <w:t>项目支出绩效自评指标评分表</w:t>
            </w:r>
          </w:p>
          <w:p>
            <w:pPr>
              <w:widowControl/>
              <w:spacing w:line="260" w:lineRule="exact"/>
              <w:jc w:val="center"/>
              <w:rPr>
                <w:rFonts w:ascii="仿宋_GB2312" w:hAnsi="宋体" w:cs="宋体"/>
                <w:b/>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一级指标</w:t>
            </w:r>
          </w:p>
        </w:tc>
        <w:tc>
          <w:tcPr>
            <w:tcW w:w="514"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二级指标</w:t>
            </w:r>
          </w:p>
        </w:tc>
        <w:tc>
          <w:tcPr>
            <w:tcW w:w="693"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三级</w:t>
            </w:r>
          </w:p>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指标</w:t>
            </w:r>
          </w:p>
        </w:tc>
        <w:tc>
          <w:tcPr>
            <w:tcW w:w="451"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自评分</w:t>
            </w:r>
          </w:p>
        </w:tc>
        <w:tc>
          <w:tcPr>
            <w:tcW w:w="1964" w:type="dxa"/>
            <w:vAlign w:val="center"/>
          </w:tcPr>
          <w:p>
            <w:pPr>
              <w:widowControl/>
              <w:spacing w:line="260" w:lineRule="exact"/>
              <w:jc w:val="center"/>
              <w:rPr>
                <w:rFonts w:ascii="仿宋_GB2312" w:hAnsi="宋体" w:cs="宋体"/>
                <w:b/>
                <w:color w:val="auto"/>
                <w:kern w:val="0"/>
                <w:sz w:val="21"/>
                <w:szCs w:val="21"/>
                <w:highlight w:val="none"/>
              </w:rPr>
            </w:pPr>
            <w:r>
              <w:rPr>
                <w:rFonts w:hint="eastAsia" w:ascii="仿宋_GB2312" w:hAnsi="宋体" w:cs="宋体"/>
                <w:b/>
                <w:color w:val="auto"/>
                <w:kern w:val="0"/>
                <w:sz w:val="21"/>
                <w:szCs w:val="21"/>
                <w:highlight w:val="none"/>
              </w:rPr>
              <w:t>具体指标</w:t>
            </w:r>
          </w:p>
        </w:tc>
        <w:tc>
          <w:tcPr>
            <w:tcW w:w="2185" w:type="dxa"/>
            <w:vAlign w:val="center"/>
          </w:tcPr>
          <w:p>
            <w:pPr>
              <w:widowControl/>
              <w:spacing w:line="260" w:lineRule="exact"/>
              <w:jc w:val="center"/>
              <w:rPr>
                <w:rFonts w:hint="eastAsia" w:ascii="仿宋_GB2312" w:hAnsi="宋体" w:eastAsia="仿宋_GB2312" w:cs="宋体"/>
                <w:b/>
                <w:color w:val="auto"/>
                <w:kern w:val="0"/>
                <w:sz w:val="21"/>
                <w:szCs w:val="21"/>
                <w:lang w:val="en-US" w:eastAsia="zh-CN"/>
              </w:rPr>
            </w:pPr>
            <w:r>
              <w:rPr>
                <w:rFonts w:hint="eastAsia" w:ascii="仿宋_GB2312" w:hAnsi="宋体" w:cs="宋体"/>
                <w:b/>
                <w:color w:val="auto"/>
                <w:kern w:val="0"/>
                <w:sz w:val="21"/>
                <w:szCs w:val="21"/>
              </w:rPr>
              <w:t>具体指标</w:t>
            </w:r>
            <w:r>
              <w:rPr>
                <w:rFonts w:hint="eastAsia" w:ascii="仿宋_GB2312" w:hAnsi="宋体" w:cs="宋体"/>
                <w:b/>
                <w:color w:val="auto"/>
                <w:kern w:val="0"/>
                <w:sz w:val="21"/>
                <w:szCs w:val="21"/>
                <w:lang w:val="en-US" w:eastAsia="zh-CN"/>
              </w:rPr>
              <w:t>说明</w:t>
            </w:r>
          </w:p>
        </w:tc>
        <w:tc>
          <w:tcPr>
            <w:tcW w:w="2173" w:type="dxa"/>
            <w:gridSpan w:val="2"/>
            <w:vAlign w:val="center"/>
          </w:tcPr>
          <w:p>
            <w:pPr>
              <w:widowControl/>
              <w:spacing w:line="260" w:lineRule="exact"/>
              <w:jc w:val="center"/>
              <w:rPr>
                <w:rFonts w:hint="eastAsia" w:ascii="仿宋_GB2312" w:hAnsi="宋体" w:cs="宋体"/>
                <w:b/>
                <w:color w:val="auto"/>
                <w:kern w:val="0"/>
                <w:sz w:val="21"/>
                <w:szCs w:val="21"/>
              </w:rPr>
            </w:pPr>
            <w:r>
              <w:rPr>
                <w:rFonts w:hint="eastAsia" w:ascii="仿宋_GB2312" w:hAnsi="宋体" w:cs="宋体"/>
                <w:b/>
                <w:color w:val="auto"/>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r>
              <w:rPr>
                <w:rFonts w:ascii="仿宋_GB2312" w:hAnsi="宋体" w:cs="宋体"/>
                <w:color w:val="auto"/>
                <w:kern w:val="0"/>
                <w:sz w:val="21"/>
                <w:szCs w:val="21"/>
              </w:rPr>
              <w:t>20</w:t>
            </w:r>
            <w:r>
              <w:rPr>
                <w:rFonts w:hint="eastAsia" w:ascii="仿宋_GB2312" w:hAnsi="宋体" w:cs="宋体"/>
                <w:color w:val="auto"/>
                <w:kern w:val="0"/>
                <w:sz w:val="21"/>
                <w:szCs w:val="21"/>
              </w:rPr>
              <w:t>分）</w:t>
            </w: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w:t>
            </w:r>
          </w:p>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(4</w:t>
            </w:r>
            <w:r>
              <w:rPr>
                <w:rFonts w:hint="eastAsia" w:ascii="仿宋_GB2312" w:hAnsi="宋体" w:cs="宋体"/>
                <w:color w:val="auto"/>
                <w:kern w:val="0"/>
                <w:sz w:val="21"/>
                <w:szCs w:val="21"/>
              </w:rPr>
              <w:t>分</w:t>
            </w:r>
            <w:r>
              <w:rPr>
                <w:rFonts w:ascii="仿宋_GB2312" w:hAnsi="宋体" w:cs="宋体"/>
                <w:color w:val="auto"/>
                <w:kern w:val="0"/>
                <w:sz w:val="21"/>
                <w:szCs w:val="21"/>
              </w:rPr>
              <w:t>)</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目标内容（</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1.设有明确的产出指标、效益指标及满意度指标；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2.目标明确细化：产出指标细化了数量指标、质量指标、时效指标，效益指标细化为经济效益指标、可持续影响指标，满意度指标细化为服务对象满意度指标。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3.目标量化。</w:t>
            </w:r>
          </w:p>
        </w:tc>
        <w:tc>
          <w:tcPr>
            <w:tcW w:w="2185" w:type="dxa"/>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设立了项目绩效目标；目标明确；目标细化；目标量化</w:t>
            </w:r>
          </w:p>
        </w:tc>
        <w:tc>
          <w:tcPr>
            <w:tcW w:w="2173" w:type="dxa"/>
            <w:gridSpan w:val="2"/>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设有目标（</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目标明确（</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目标细化（</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目标量化（</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过程</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决策依据（</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numPr>
                <w:ilvl w:val="0"/>
                <w:numId w:val="5"/>
              </w:numPr>
              <w:spacing w:line="260" w:lineRule="exact"/>
              <w:jc w:val="left"/>
              <w:rPr>
                <w:rFonts w:hint="eastAsia"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项目符合法律法规；</w:t>
            </w:r>
          </w:p>
          <w:p>
            <w:pPr>
              <w:widowControl/>
              <w:numPr>
                <w:ilvl w:val="0"/>
                <w:numId w:val="5"/>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项目属于公益性基础设施项目符合经济社会发展规划、符合园区控制性详细规划；</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3、项目按照呈贡信息产业园区建设通知，符合信息产业园区年度工作计划安排；</w:t>
            </w:r>
          </w:p>
          <w:p>
            <w:pPr>
              <w:widowControl/>
              <w:numPr>
                <w:ilvl w:val="0"/>
                <w:numId w:val="0"/>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4、项目针对园区基础设施薄弱，解决园区招商发展基础道路薄弱关键问题。</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有关法律法规的明确规定；某一经济社会发展规划；某部门年度工作计划；某一实际问题和需求</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符合法律法规（</w:t>
            </w:r>
            <w:r>
              <w:rPr>
                <w:rFonts w:ascii="仿宋_GB2312" w:hAnsi="宋体" w:cs="宋体"/>
                <w:color w:val="auto"/>
                <w:kern w:val="0"/>
                <w:sz w:val="21"/>
                <w:szCs w:val="21"/>
              </w:rPr>
              <w:t>1</w:t>
            </w:r>
            <w:r>
              <w:rPr>
                <w:rFonts w:hint="eastAsia" w:ascii="仿宋_GB2312" w:hAnsi="宋体" w:cs="宋体"/>
                <w:color w:val="auto"/>
                <w:kern w:val="0"/>
                <w:sz w:val="21"/>
                <w:szCs w:val="21"/>
              </w:rPr>
              <w:t>分）符合经济社会发展规划（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部门年度工作计划（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针对某一实际问题和需求（</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决策程序（</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项目符合申报条件；</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申报、批复程序符合相关管理办法；</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项目调整履行了相应手续</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项目符合申报条件；申报、批复程序符合相关管理办法；项目调整履行了相应手续</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符合申报条件（</w:t>
            </w:r>
            <w:r>
              <w:rPr>
                <w:rFonts w:ascii="仿宋_GB2312" w:hAnsi="宋体" w:cs="宋体"/>
                <w:color w:val="auto"/>
                <w:kern w:val="0"/>
                <w:sz w:val="21"/>
                <w:szCs w:val="21"/>
              </w:rPr>
              <w:t>2</w:t>
            </w:r>
            <w:r>
              <w:rPr>
                <w:rFonts w:hint="eastAsia" w:ascii="仿宋_GB2312" w:hAnsi="宋体" w:cs="宋体"/>
                <w:color w:val="auto"/>
                <w:kern w:val="0"/>
                <w:sz w:val="21"/>
                <w:szCs w:val="21"/>
              </w:rPr>
              <w:t>分）项目申报、批复程序符合管理办法（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项目调整履行了相应手续（</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分配办法（</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numPr>
                <w:ilvl w:val="0"/>
                <w:numId w:val="6"/>
              </w:numPr>
              <w:spacing w:line="260" w:lineRule="exact"/>
              <w:jc w:val="left"/>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有相应的资金管理办法</w:t>
            </w:r>
            <w:r>
              <w:rPr>
                <w:rFonts w:hint="eastAsia" w:ascii="仿宋_GB2312" w:hAnsi="宋体" w:cs="宋体"/>
                <w:color w:val="auto"/>
                <w:kern w:val="0"/>
                <w:sz w:val="21"/>
                <w:szCs w:val="21"/>
                <w:lang w:eastAsia="zh-CN"/>
              </w:rPr>
              <w:t>；</w:t>
            </w:r>
          </w:p>
          <w:p>
            <w:pPr>
              <w:widowControl/>
              <w:numPr>
                <w:ilvl w:val="0"/>
                <w:numId w:val="6"/>
              </w:numPr>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项目资金管理</w:t>
            </w:r>
            <w:r>
              <w:rPr>
                <w:rFonts w:hint="eastAsia" w:ascii="仿宋_GB2312" w:hAnsi="宋体" w:cs="宋体"/>
                <w:color w:val="auto"/>
                <w:kern w:val="0"/>
                <w:sz w:val="21"/>
                <w:szCs w:val="21"/>
              </w:rPr>
              <w:t>办法健全、规范</w:t>
            </w:r>
            <w:r>
              <w:rPr>
                <w:rFonts w:hint="eastAsia" w:ascii="仿宋_GB2312" w:hAnsi="宋体" w:cs="宋体"/>
                <w:color w:val="auto"/>
                <w:kern w:val="0"/>
                <w:sz w:val="21"/>
                <w:szCs w:val="21"/>
                <w:lang w:eastAsia="zh-CN"/>
              </w:rPr>
              <w:t>；</w:t>
            </w:r>
          </w:p>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3、项目资金分配</w:t>
            </w:r>
            <w:r>
              <w:rPr>
                <w:rFonts w:hint="eastAsia" w:ascii="仿宋_GB2312" w:hAnsi="宋体" w:cs="宋体"/>
                <w:color w:val="auto"/>
                <w:kern w:val="0"/>
                <w:sz w:val="21"/>
                <w:szCs w:val="21"/>
              </w:rPr>
              <w:t>因素全面合理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根据需要制定的相关资金管理办法；管理办法中有明确资金分配办法；资金分配因素全面、合理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办法健全、规范（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因素全面合理（</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分配结果（</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rPr>
              <w:t>资金分配符合相关管理办法；分配结果</w:t>
            </w:r>
            <w:r>
              <w:rPr>
                <w:rFonts w:hint="eastAsia" w:ascii="仿宋_GB2312" w:hAnsi="宋体" w:cs="宋体"/>
                <w:color w:val="auto"/>
                <w:kern w:val="0"/>
                <w:sz w:val="21"/>
                <w:szCs w:val="21"/>
                <w:lang w:val="en-US" w:eastAsia="zh-CN"/>
              </w:rPr>
              <w:t>按照项目前期相关成果及合同</w:t>
            </w:r>
            <w:r>
              <w:rPr>
                <w:rFonts w:hint="eastAsia" w:ascii="仿宋_GB2312" w:hAnsi="宋体" w:cs="宋体"/>
                <w:color w:val="auto"/>
                <w:kern w:val="0"/>
                <w:sz w:val="21"/>
                <w:szCs w:val="21"/>
              </w:rPr>
              <w:t>公平合理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资金分配符合相关管理办法；分配结果公平合理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符合分配办法（</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分配公平合理（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w:t>
            </w:r>
            <w:r>
              <w:rPr>
                <w:rFonts w:hint="eastAsia" w:ascii="仿宋_GB2312" w:hAnsi="宋体" w:cs="宋体"/>
                <w:color w:val="auto"/>
                <w:kern w:val="0"/>
                <w:sz w:val="21"/>
                <w:szCs w:val="21"/>
                <w:lang w:val="en-US" w:eastAsia="zh-CN"/>
              </w:rPr>
              <w:t>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4</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现阶段项目资金实际到位率100%</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实际到位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p>
        </w:tc>
        <w:tc>
          <w:tcPr>
            <w:tcW w:w="2173" w:type="dxa"/>
            <w:gridSpan w:val="2"/>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根据项目资金的实际到位率计算得分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到位时效（</w:t>
            </w:r>
            <w:r>
              <w:rPr>
                <w:rFonts w:ascii="仿宋_GB2312" w:hAnsi="宋体" w:cs="宋体"/>
                <w:color w:val="auto"/>
                <w:kern w:val="0"/>
                <w:sz w:val="21"/>
                <w:szCs w:val="21"/>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eastAsia" w:ascii="仿宋_GB2312" w:hAnsi="宋体" w:eastAsia="仿宋_GB2312" w:cs="宋体"/>
                <w:color w:val="auto"/>
                <w:kern w:val="0"/>
                <w:sz w:val="21"/>
                <w:szCs w:val="21"/>
                <w:highlight w:val="none"/>
                <w:lang w:eastAsia="zh-CN"/>
              </w:rPr>
            </w:pPr>
            <w:r>
              <w:rPr>
                <w:rFonts w:hint="eastAsia" w:ascii="仿宋_GB2312" w:hAnsi="宋体" w:cs="宋体"/>
                <w:color w:val="auto"/>
                <w:kern w:val="0"/>
                <w:sz w:val="21"/>
                <w:szCs w:val="21"/>
                <w:lang w:val="en-US" w:eastAsia="zh-CN"/>
              </w:rPr>
              <w:t>项目资金及时</w:t>
            </w:r>
            <w:r>
              <w:rPr>
                <w:rFonts w:hint="eastAsia" w:ascii="仿宋_GB2312" w:hAnsi="宋体" w:cs="宋体"/>
                <w:color w:val="auto"/>
                <w:kern w:val="0"/>
                <w:sz w:val="21"/>
                <w:szCs w:val="21"/>
              </w:rPr>
              <w:t>到位</w:t>
            </w:r>
            <w:r>
              <w:rPr>
                <w:rFonts w:hint="eastAsia" w:ascii="仿宋_GB2312" w:hAnsi="宋体" w:cs="宋体"/>
                <w:color w:val="auto"/>
                <w:kern w:val="0"/>
                <w:sz w:val="21"/>
                <w:szCs w:val="21"/>
                <w:lang w:val="en-US" w:eastAsia="zh-CN"/>
              </w:rPr>
              <w:t>并</w:t>
            </w:r>
            <w:r>
              <w:rPr>
                <w:rFonts w:hint="eastAsia" w:ascii="仿宋_GB2312" w:hAnsi="宋体" w:cs="宋体"/>
                <w:color w:val="auto"/>
                <w:kern w:val="0"/>
                <w:sz w:val="21"/>
                <w:szCs w:val="21"/>
              </w:rPr>
              <w:t>未影响项目进度</w:t>
            </w:r>
            <w:r>
              <w:rPr>
                <w:rFonts w:ascii="仿宋_GB2312" w:hAnsi="宋体" w:cs="宋体"/>
                <w:color w:val="auto"/>
                <w:kern w:val="0"/>
                <w:sz w:val="21"/>
                <w:szCs w:val="21"/>
              </w:rPr>
              <w:t xml:space="preserve"> </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资金及时到位；若未及时到位，是否影响项目进度</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到位及时（</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不及时但未影响项目进度</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不及时并影响项目进度（</w:t>
            </w:r>
            <w:r>
              <w:rPr>
                <w:rFonts w:ascii="仿宋_GB2312" w:hAnsi="宋体" w:cs="宋体"/>
                <w:color w:val="auto"/>
                <w:kern w:val="0"/>
                <w:sz w:val="21"/>
                <w:szCs w:val="21"/>
              </w:rPr>
              <w:t>0.5</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资金使用（</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目前项目支出了前期可行性研究报告及初步设计费用</w:t>
            </w: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虚列套取扣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依据不合规扣</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截留、挤占、挪用</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超标准开支扣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超预算扣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财务管理（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财务制度健全（</w:t>
            </w:r>
            <w:r>
              <w:rPr>
                <w:rFonts w:ascii="仿宋_GB2312" w:hAnsi="宋体" w:cs="宋体"/>
                <w:color w:val="auto"/>
                <w:kern w:val="0"/>
                <w:sz w:val="21"/>
                <w:szCs w:val="21"/>
              </w:rPr>
              <w:t>1</w:t>
            </w:r>
            <w:r>
              <w:rPr>
                <w:rFonts w:hint="eastAsia" w:ascii="仿宋_GB2312" w:hAnsi="宋体" w:cs="宋体"/>
                <w:color w:val="auto"/>
                <w:kern w:val="0"/>
                <w:sz w:val="21"/>
                <w:szCs w:val="21"/>
              </w:rPr>
              <w:t>分）严格执行制度（</w:t>
            </w:r>
            <w:r>
              <w:rPr>
                <w:rFonts w:ascii="仿宋_GB2312" w:hAnsi="宋体" w:cs="宋体"/>
                <w:color w:val="auto"/>
                <w:kern w:val="0"/>
                <w:sz w:val="21"/>
                <w:szCs w:val="21"/>
              </w:rPr>
              <w:t>1</w:t>
            </w:r>
            <w:r>
              <w:rPr>
                <w:rFonts w:hint="eastAsia" w:ascii="仿宋_GB2312" w:hAnsi="宋体" w:cs="宋体"/>
                <w:color w:val="auto"/>
                <w:kern w:val="0"/>
                <w:sz w:val="21"/>
                <w:szCs w:val="21"/>
              </w:rPr>
              <w:t>分）会计核算规范（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组织机构（</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项目建设</w:t>
            </w:r>
            <w:r>
              <w:rPr>
                <w:rFonts w:hint="eastAsia" w:ascii="仿宋_GB2312" w:hAnsi="宋体" w:cs="宋体"/>
                <w:color w:val="auto"/>
                <w:kern w:val="0"/>
                <w:sz w:val="21"/>
                <w:szCs w:val="21"/>
              </w:rPr>
              <w:t>机构健全、分工明确</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p>
        </w:tc>
        <w:tc>
          <w:tcPr>
            <w:tcW w:w="2174" w:type="dxa"/>
            <w:gridSpan w:val="3"/>
            <w:vAlign w:val="center"/>
          </w:tcPr>
          <w:p>
            <w:pPr>
              <w:widowControl/>
              <w:spacing w:line="260" w:lineRule="exact"/>
              <w:ind w:left="187" w:leftChars="0" w:hanging="187" w:hangingChars="100"/>
              <w:jc w:val="left"/>
              <w:rPr>
                <w:rFonts w:hint="eastAsia" w:ascii="仿宋_GB2312" w:hAnsi="宋体" w:cs="宋体"/>
                <w:color w:val="auto"/>
                <w:kern w:val="0"/>
                <w:sz w:val="21"/>
                <w:szCs w:val="21"/>
              </w:rPr>
            </w:pPr>
            <w:r>
              <w:rPr>
                <w:rFonts w:hint="eastAsia" w:ascii="仿宋_GB2312" w:hAnsi="宋体" w:cs="宋体"/>
                <w:color w:val="auto"/>
                <w:kern w:val="0"/>
                <w:sz w:val="21"/>
                <w:szCs w:val="21"/>
              </w:rPr>
              <w:t>机构健全、分工明确</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项目按照计划进度开展并完成了可行性研究、规划国土意见、环境影响评价、规划红线、初步设计等前期工作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已按照绩效目标已完成项目可研立项批复、规划意见、国土意见、规划道路红线、环评登记表、矿压查询等项目前期工作，并超额完成了项目初步设计批复</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项目按质按量完成项目前期手续办理满足项目合规性</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根据该项目实际，标识具体明确的产出质量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已按照绩效目标于2022年完成了项目可研立项批复、规划意见、道路红线、环评、矿压查询等项目前期工作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根据该项目实际，标识具体明确的产出时效</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已完成项目可研立项批复、规划意见、国土意见、规划道路红线、环评登记表、矿压查询等项目前期工作，为园区道路建设提升园区整体形象，为园区招商引资工作提供合规性基础保障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hint="default" w:ascii="仿宋_GB2312" w:hAnsi="宋体" w:cs="宋体"/>
                <w:color w:val="auto"/>
                <w:kern w:val="0"/>
                <w:sz w:val="21"/>
                <w:szCs w:val="21"/>
                <w:lang w:val="en-US"/>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已完成项目可研立项批复、规划意见、国土意见、规划道路红线、环评登记表、矿压查询等项目前期工作，为绿美园区建设、良好的投资环境营造创造了条件。</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园区工作人员对项目建成的满意度达到满意标准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5"/>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总分</w:t>
            </w:r>
          </w:p>
        </w:tc>
        <w:tc>
          <w:tcPr>
            <w:tcW w:w="446"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94</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85"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68" w:type="dxa"/>
            <w:vAlign w:val="center"/>
          </w:tcPr>
          <w:p>
            <w:pPr>
              <w:widowControl/>
              <w:spacing w:line="260" w:lineRule="exact"/>
              <w:jc w:val="center"/>
              <w:rPr>
                <w:rFonts w:hint="eastAsia" w:ascii="仿宋_GB2312" w:hAnsi="宋体" w:cs="宋体"/>
                <w:color w:val="auto"/>
                <w:kern w:val="0"/>
                <w:sz w:val="21"/>
                <w:szCs w:val="21"/>
              </w:rPr>
            </w:pP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numPr>
          <w:ilvl w:val="0"/>
          <w:numId w:val="0"/>
        </w:numPr>
        <w:topLinePunct/>
        <w:ind w:firstLine="594" w:firstLineChars="200"/>
        <w:rPr>
          <w:rFonts w:hint="eastAsia" w:ascii="仿宋_GB2312"/>
          <w:szCs w:val="32"/>
        </w:rPr>
      </w:pPr>
      <w:r>
        <w:rPr>
          <w:rFonts w:hint="eastAsia" w:ascii="仿宋_GB2312" w:hAnsi="Times New Roman" w:cs="Times New Roman"/>
          <w:szCs w:val="32"/>
        </w:rPr>
        <w:t>呈贡信息产业园区万溪核心区二期15</w:t>
      </w:r>
      <w:r>
        <w:rPr>
          <w:rFonts w:hint="eastAsia" w:ascii="仿宋_GB2312" w:hAnsi="Times New Roman" w:cs="Times New Roman"/>
          <w:szCs w:val="32"/>
          <w:lang w:val="en-US" w:eastAsia="zh-CN"/>
        </w:rPr>
        <w:t>3</w:t>
      </w:r>
      <w:r>
        <w:rPr>
          <w:rFonts w:hint="eastAsia" w:ascii="仿宋_GB2312" w:hAnsi="Times New Roman" w:cs="Times New Roman"/>
          <w:szCs w:val="32"/>
        </w:rPr>
        <w:t>号三期、</w:t>
      </w:r>
      <w:r>
        <w:rPr>
          <w:rFonts w:hint="eastAsia" w:ascii="仿宋_GB2312" w:hAnsi="Times New Roman" w:cs="Times New Roman"/>
          <w:szCs w:val="32"/>
          <w:lang w:val="en-US" w:eastAsia="zh-CN"/>
        </w:rPr>
        <w:t>153号四期</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41</w:t>
      </w:r>
      <w:r>
        <w:rPr>
          <w:rFonts w:hint="eastAsia" w:ascii="仿宋_GB2312" w:hAnsi="Times New Roman" w:cs="Times New Roman"/>
          <w:szCs w:val="32"/>
        </w:rPr>
        <w:t>号二期道路建设项目</w:t>
      </w:r>
      <w:r>
        <w:rPr>
          <w:rFonts w:hint="eastAsia" w:ascii="仿宋_GB2312" w:hAnsi="Times New Roman" w:cs="Times New Roman"/>
          <w:szCs w:val="32"/>
          <w:lang w:val="en-US" w:eastAsia="zh-CN"/>
        </w:rPr>
        <w:t>由于</w:t>
      </w:r>
      <w:r>
        <w:rPr>
          <w:rFonts w:hint="eastAsia" w:ascii="仿宋_GB2312" w:hAnsi="仿宋_GB2312" w:eastAsia="仿宋_GB2312" w:cs="仿宋_GB2312"/>
          <w:kern w:val="0"/>
          <w:sz w:val="32"/>
          <w:szCs w:val="32"/>
          <w:lang w:val="en-US" w:eastAsia="zh-CN"/>
        </w:rPr>
        <w:t>项目用地受土地征收及用地指标报批影响，暂无法开工</w:t>
      </w:r>
      <w:r>
        <w:rPr>
          <w:rFonts w:hint="eastAsia" w:ascii="仿宋_GB2312" w:hAnsi="仿宋_GB2312" w:cs="仿宋_GB2312"/>
          <w:kern w:val="0"/>
          <w:sz w:val="32"/>
          <w:szCs w:val="32"/>
          <w:lang w:val="en-US" w:eastAsia="zh-CN"/>
        </w:rPr>
        <w:t>。</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项目后续将严格按照基本建设程序推进项目指标申报、征地拆迁、选址意见书、用地规划许可证、工程规划许可证、施工图设计审查、施工许可证等前期手续，并有序推进项目施工建设工作。</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ascii="仿宋_GB2312"/>
          <w:szCs w:val="32"/>
        </w:rPr>
      </w:pPr>
      <w:r>
        <w:rPr>
          <w:rFonts w:hint="default" w:ascii="Times New Roman" w:hAnsi="Times New Roman" w:eastAsia="仿宋_GB2312" w:cs="Times New Roman"/>
          <w:lang w:val="en-US" w:eastAsia="zh-CN"/>
        </w:rPr>
        <w:t xml:space="preserve">                           202</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A5A0399B"/>
    <w:multiLevelType w:val="singleLevel"/>
    <w:tmpl w:val="A5A0399B"/>
    <w:lvl w:ilvl="0" w:tentative="0">
      <w:start w:val="1"/>
      <w:numFmt w:val="decimal"/>
      <w:suff w:val="nothing"/>
      <w:lvlText w:val="%1、"/>
      <w:lvlJc w:val="left"/>
    </w:lvl>
  </w:abstractNum>
  <w:abstractNum w:abstractNumId="3">
    <w:nsid w:val="F8A2BB82"/>
    <w:multiLevelType w:val="singleLevel"/>
    <w:tmpl w:val="F8A2BB82"/>
    <w:lvl w:ilvl="0" w:tentative="0">
      <w:start w:val="1"/>
      <w:numFmt w:val="decimal"/>
      <w:suff w:val="nothing"/>
      <w:lvlText w:val="%1、"/>
      <w:lvlJc w:val="left"/>
    </w:lvl>
  </w:abstractNum>
  <w:abstractNum w:abstractNumId="4">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5">
    <w:nsid w:val="43B18715"/>
    <w:multiLevelType w:val="singleLevel"/>
    <w:tmpl w:val="43B18715"/>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346F6C"/>
    <w:rsid w:val="08563735"/>
    <w:rsid w:val="0D491A00"/>
    <w:rsid w:val="0F4F7876"/>
    <w:rsid w:val="13C77B8B"/>
    <w:rsid w:val="177C1352"/>
    <w:rsid w:val="198F4B69"/>
    <w:rsid w:val="1C2F476E"/>
    <w:rsid w:val="22B90AA8"/>
    <w:rsid w:val="252F7B2C"/>
    <w:rsid w:val="2A297AAA"/>
    <w:rsid w:val="2A957D1D"/>
    <w:rsid w:val="34BA06A5"/>
    <w:rsid w:val="378A5996"/>
    <w:rsid w:val="3AA426C0"/>
    <w:rsid w:val="3C9D478B"/>
    <w:rsid w:val="3E493A04"/>
    <w:rsid w:val="4181566C"/>
    <w:rsid w:val="51C05EE5"/>
    <w:rsid w:val="55DA486D"/>
    <w:rsid w:val="5A3C6978"/>
    <w:rsid w:val="5D6372D1"/>
    <w:rsid w:val="67600811"/>
    <w:rsid w:val="6AE62ECF"/>
    <w:rsid w:val="6B2961AD"/>
    <w:rsid w:val="6DD56D9C"/>
    <w:rsid w:val="6E710353"/>
    <w:rsid w:val="6FCB46F4"/>
    <w:rsid w:val="789D155E"/>
    <w:rsid w:val="7B6F2E8B"/>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1</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西北半张脸</cp:lastModifiedBy>
  <cp:lastPrinted>2020-03-17T03:50:00Z</cp:lastPrinted>
  <dcterms:modified xsi:type="dcterms:W3CDTF">2023-09-26T06:34:22Z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