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6</w:t>
      </w:r>
      <w:bookmarkStart w:id="2" w:name="_GoBack"/>
      <w:bookmarkEnd w:id="2"/>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昆明呈贡信息产业园区基础设施建设</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（园区一期进场道路项目）</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outlineLvl w:val="0"/>
        <w:rPr>
          <w:rFonts w:hint="eastAsia" w:ascii="仿宋_GB2312"/>
          <w:szCs w:val="32"/>
        </w:rPr>
      </w:pPr>
      <w:bookmarkStart w:id="0" w:name="_Toc30514894"/>
      <w:r>
        <w:rPr>
          <w:rFonts w:hint="eastAsia" w:ascii="仿宋_GB2312"/>
          <w:szCs w:val="32"/>
        </w:rPr>
        <w:t>昆明呈贡信息产业园区一期进场道路建设项目（以下简称“园区一期进场道路项目”）规划43号路（兴园路）南段长2.14km，宽30m；规划152号路（智慧路）南段路长1.01km，宽40m；规划153号路（信息路）东南段长1.63km</w:t>
      </w:r>
      <w:r>
        <w:rPr>
          <w:rFonts w:hint="eastAsia" w:ascii="仿宋_GB2312"/>
          <w:szCs w:val="32"/>
          <w:lang w:eastAsia="zh-CN"/>
        </w:rPr>
        <w:t>，</w:t>
      </w:r>
      <w:r>
        <w:rPr>
          <w:rFonts w:hint="eastAsia" w:ascii="仿宋_GB2312"/>
          <w:szCs w:val="32"/>
        </w:rPr>
        <w:t>宽30m，项目总占地约400亩，总投资约6.39亿元，主要建设内容为道路、排水、交通、照明、绿化及相关附属设施配套工程。</w:t>
      </w:r>
    </w:p>
    <w:p>
      <w:pPr>
        <w:ind w:firstLine="594" w:firstLineChars="200"/>
        <w:outlineLvl w:val="0"/>
        <w:rPr>
          <w:rFonts w:hint="eastAsia" w:ascii="仿宋_GB2312"/>
          <w:szCs w:val="32"/>
        </w:rPr>
      </w:pPr>
      <w:r>
        <w:rPr>
          <w:rFonts w:hint="eastAsia" w:ascii="仿宋_GB2312"/>
          <w:szCs w:val="32"/>
          <w:highlight w:val="none"/>
          <w:lang w:val="en-US" w:eastAsia="zh-CN"/>
        </w:rPr>
        <w:t>昆明呈贡信息产业园区一期进场道路建设项目总投资约63,949.94万元，</w:t>
      </w:r>
      <w:r>
        <w:rPr>
          <w:rFonts w:hint="eastAsia" w:ascii="仿宋_GB2312"/>
          <w:szCs w:val="32"/>
          <w:highlight w:val="none"/>
          <w:lang w:eastAsia="zh-CN"/>
        </w:rPr>
        <w:t>根据昆明市审计局2019年1月15日认定的园区一期进场道路建设工程成本评估报告，园区一期进场道路建设工程审定金额为32</w:t>
      </w:r>
      <w:r>
        <w:rPr>
          <w:rFonts w:hint="eastAsia" w:ascii="仿宋_GB2312"/>
          <w:szCs w:val="32"/>
          <w:highlight w:val="none"/>
          <w:lang w:val="en-US" w:eastAsia="zh-CN"/>
        </w:rPr>
        <w:t>,</w:t>
      </w:r>
      <w:r>
        <w:rPr>
          <w:rFonts w:hint="eastAsia" w:ascii="仿宋_GB2312"/>
          <w:szCs w:val="32"/>
          <w:highlight w:val="none"/>
          <w:lang w:eastAsia="zh-CN"/>
        </w:rPr>
        <w:t>336</w:t>
      </w:r>
      <w:r>
        <w:rPr>
          <w:rFonts w:hint="eastAsia" w:ascii="仿宋_GB2312"/>
          <w:szCs w:val="32"/>
          <w:highlight w:val="none"/>
          <w:lang w:val="en-US" w:eastAsia="zh-CN"/>
        </w:rPr>
        <w:t>.</w:t>
      </w:r>
      <w:r>
        <w:rPr>
          <w:rFonts w:hint="eastAsia" w:ascii="仿宋_GB2312"/>
          <w:szCs w:val="32"/>
          <w:highlight w:val="none"/>
          <w:lang w:eastAsia="zh-CN"/>
        </w:rPr>
        <w:t>05</w:t>
      </w:r>
      <w:r>
        <w:rPr>
          <w:rFonts w:hint="eastAsia" w:ascii="仿宋_GB2312"/>
          <w:szCs w:val="32"/>
          <w:highlight w:val="none"/>
          <w:lang w:val="en-US" w:eastAsia="zh-CN"/>
        </w:rPr>
        <w:t>万</w:t>
      </w:r>
      <w:r>
        <w:rPr>
          <w:rFonts w:hint="eastAsia" w:ascii="仿宋_GB2312"/>
          <w:szCs w:val="32"/>
          <w:highlight w:val="none"/>
          <w:lang w:eastAsia="zh-CN"/>
        </w:rPr>
        <w:t>元。</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ind w:firstLine="594" w:firstLineChars="200"/>
        <w:rPr>
          <w:rFonts w:hint="eastAsia" w:ascii="仿宋_GB2312"/>
          <w:szCs w:val="32"/>
          <w:lang w:val="en-US" w:eastAsia="zh-CN"/>
        </w:rPr>
      </w:pPr>
      <w:r>
        <w:rPr>
          <w:rFonts w:hint="eastAsia" w:ascii="仿宋_GB2312"/>
          <w:szCs w:val="32"/>
          <w:lang w:val="en-US" w:eastAsia="zh-CN"/>
        </w:rPr>
        <w:t>完成</w:t>
      </w:r>
      <w:r>
        <w:rPr>
          <w:rFonts w:hint="eastAsia" w:ascii="仿宋_GB2312"/>
          <w:szCs w:val="32"/>
          <w:lang w:eastAsia="zh-CN"/>
        </w:rPr>
        <w:t>昆明呈贡信息产业园区一期进场道路建设项目规划43号路（兴园路）南段长2.14km，宽30m；规划152号路（智慧路）南段路长1.01km，宽40m；规划153号路（信息路）东南段长1.63km，宽30m，项目总占地约400亩，总投资约6.39亿元，主要建设内容为道路、排水、交通、照明、绿化及相关附属设施配套工程</w:t>
      </w:r>
      <w:r>
        <w:rPr>
          <w:rFonts w:hint="eastAsia" w:ascii="仿宋_GB2312"/>
          <w:szCs w:val="32"/>
          <w:lang w:val="en-US" w:eastAsia="zh-CN"/>
        </w:rPr>
        <w:t>全部建设工作。</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ind w:firstLine="594"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我单位已足额拨付了该项目资金</w:t>
      </w:r>
      <w:r>
        <w:rPr>
          <w:rFonts w:hint="eastAsia" w:ascii="仿宋_GB2312"/>
          <w:szCs w:val="32"/>
          <w:highlight w:val="none"/>
          <w:lang w:val="en-US" w:eastAsia="zh-CN"/>
        </w:rPr>
        <w:t>8000</w:t>
      </w:r>
      <w:r>
        <w:rPr>
          <w:rFonts w:hint="default" w:ascii="Times New Roman" w:hAnsi="Times New Roman" w:eastAsia="仿宋_GB2312" w:cs="Times New Roman"/>
          <w:sz w:val="32"/>
          <w:szCs w:val="32"/>
          <w:highlight w:val="none"/>
          <w:lang w:val="en-US" w:eastAsia="zh-CN"/>
        </w:rPr>
        <w:t>万元至</w:t>
      </w: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有限公司，无滞留、挤占、挪用等违法乱纪情况，资金到位率100%。</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w:t>
      </w:r>
      <w:r>
        <w:rPr>
          <w:rFonts w:hint="default" w:ascii="Times New Roman" w:hAnsi="Times New Roman" w:eastAsia="仿宋_GB2312" w:cs="Times New Roman"/>
          <w:sz w:val="32"/>
          <w:szCs w:val="32"/>
          <w:highlight w:val="none"/>
        </w:rPr>
        <w:t>对该项目资金的拨付有完整的审批程序和手续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项目的重大开支</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经过集体决策</w:t>
      </w:r>
      <w:r>
        <w:rPr>
          <w:rFonts w:hint="default" w:ascii="Times New Roman" w:hAnsi="Times New Roman" w:eastAsia="仿宋_GB2312" w:cs="Times New Roman"/>
          <w:sz w:val="32"/>
          <w:szCs w:val="32"/>
          <w:highlight w:val="none"/>
          <w:lang w:eastAsia="zh-CN"/>
        </w:rPr>
        <w:t>审批</w:t>
      </w:r>
      <w:r>
        <w:rPr>
          <w:rFonts w:hint="default" w:ascii="Times New Roman" w:hAnsi="Times New Roman" w:eastAsia="仿宋_GB2312" w:cs="Times New Roman"/>
          <w:sz w:val="32"/>
          <w:szCs w:val="32"/>
          <w:highlight w:val="none"/>
        </w:rPr>
        <w:t>。该项目实施过程中，除执行国家和地方相关法律、法规和制度外，根据需要制定了相关资金管理办法，且制度执行严格，项目会计核算规范。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ind w:firstLine="594" w:firstLineChars="200"/>
        <w:rPr>
          <w:rFonts w:hint="eastAsia" w:ascii="仿宋_GB2312"/>
          <w:szCs w:val="32"/>
          <w:lang w:val="en-US" w:eastAsia="zh-CN"/>
        </w:rPr>
      </w:pPr>
      <w:r>
        <w:rPr>
          <w:rFonts w:hint="eastAsia" w:ascii="仿宋_GB2312"/>
          <w:szCs w:val="32"/>
          <w:lang w:val="en-US" w:eastAsia="zh-CN"/>
        </w:rPr>
        <w:t>项目已</w:t>
      </w:r>
      <w:r>
        <w:rPr>
          <w:rFonts w:hint="eastAsia" w:ascii="仿宋_GB2312"/>
          <w:szCs w:val="32"/>
          <w:lang w:eastAsia="zh-CN"/>
        </w:rPr>
        <w:t>于2013年5月开展昆明呈贡信息产业园区一期进场道路项目（兴园路、智慧路、信息路三条道路）建设工作，于2015年6月完成建设并通车试运行。</w:t>
      </w:r>
      <w:r>
        <w:rPr>
          <w:rFonts w:hint="eastAsia" w:ascii="仿宋_GB2312"/>
          <w:szCs w:val="32"/>
          <w:lang w:val="en-US" w:eastAsia="zh-CN"/>
        </w:rPr>
        <w:t>项目的建设为增强工业核心竞争力和可持续发展能力，加快推进中国昆明信息产业园区项目一期进场道路项目建设。一方面能提升信息园区整体功能效应。提高信息园区土地开发价值，另一方面对完善呈贡区雨花东南片区周边路网环境，加快雨花片区的城市建设，推动昆明市呈贡区的发展建设。</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项目经济性分析</w:t>
      </w:r>
    </w:p>
    <w:p>
      <w:pPr>
        <w:topLinePunct/>
        <w:spacing w:line="600" w:lineRule="exact"/>
        <w:ind w:firstLine="594" w:firstLineChars="200"/>
        <w:jc w:val="left"/>
        <w:rPr>
          <w:rFonts w:ascii="仿宋_GB2312" w:hAnsi="仿宋_GB2312" w:cs="仿宋_GB2312"/>
          <w:szCs w:val="32"/>
        </w:rPr>
      </w:pPr>
      <w:r>
        <w:rPr>
          <w:rFonts w:hint="eastAsia" w:ascii="仿宋_GB2312" w:hAnsi="仿宋_GB2312" w:cs="仿宋_GB2312"/>
          <w:szCs w:val="32"/>
        </w:rPr>
        <w:t>项目采用公开招标的方式选聘施工、勘察、设计、监理、造价单位，实施过程中在满足法律法规及合同要求的进度、质量及安全等前提要求下，本着勤俭节约的原则对成本进行控制，引导项目各项经济活动按预定轨道运行，确保实施过程科学、规范、高效、受控。对项目建设过程中的各项资金支出，积极与施工、造价、监理等单位对接，优化调整建设方案，减少不必要支出，发挥了项目预算资金的经济效益及社会效益。</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lang w:eastAsia="zh-CN"/>
        </w:rPr>
        <w:t>项目效率性分析</w:t>
      </w:r>
    </w:p>
    <w:p>
      <w:pPr>
        <w:keepNext w:val="0"/>
        <w:keepLines w:val="0"/>
        <w:pageBreakBefore w:val="0"/>
        <w:widowControl w:val="0"/>
        <w:kinsoku/>
        <w:wordWrap/>
        <w:overflowPunct/>
        <w:autoSpaceDE/>
        <w:autoSpaceDN/>
        <w:bidi w:val="0"/>
        <w:adjustRightInd/>
        <w:snapToGrid/>
        <w:spacing w:line="580" w:lineRule="exact"/>
        <w:ind w:firstLine="594" w:firstLineChars="200"/>
        <w:jc w:val="both"/>
        <w:textAlignment w:val="auto"/>
        <w:rPr>
          <w:rFonts w:ascii="仿宋_GB2312" w:hAnsi="仿宋_GB2312" w:cs="仿宋_GB2312"/>
          <w:szCs w:val="32"/>
        </w:rPr>
      </w:pPr>
      <w:r>
        <w:rPr>
          <w:rFonts w:hint="eastAsia" w:ascii="仿宋_GB2312" w:hAnsi="仿宋_GB2312" w:cs="仿宋_GB2312"/>
          <w:szCs w:val="32"/>
        </w:rPr>
        <w:t>项目已取得呈贡区发展和改革局下发的《关于昆明呈贡信息产业园区一期进场道路设施提升改造工程可行性研究报告的批复》</w:t>
      </w:r>
      <w:r>
        <w:rPr>
          <w:rFonts w:hint="eastAsia" w:ascii="仿宋_GB2312" w:hAnsi="仿宋_GB2312" w:cs="仿宋_GB2312"/>
          <w:szCs w:val="32"/>
          <w:shd w:val="clear" w:color="auto" w:fill="FFFFFF"/>
        </w:rPr>
        <w:t>，</w:t>
      </w:r>
      <w:r>
        <w:rPr>
          <w:rFonts w:hint="eastAsia" w:ascii="仿宋_GB2312" w:hAnsi="仿宋_GB2312" w:cs="仿宋_GB2312"/>
          <w:szCs w:val="32"/>
        </w:rPr>
        <w:t>正在同步开展施工、监理、造价单位招标工作，</w:t>
      </w:r>
      <w:r>
        <w:rPr>
          <w:rFonts w:hint="eastAsia" w:ascii="仿宋_GB2312" w:hAnsi="仿宋_GB2312" w:cs="仿宋_GB2312"/>
          <w:szCs w:val="32"/>
          <w:shd w:val="clear" w:color="auto" w:fill="FFFFFF"/>
        </w:rPr>
        <w:t>为有效开展后续工程建设投资、进度、质量控制管理奠定了良好的基础，确保了项目建设的时效性、经济性及规范性。</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lang w:eastAsia="zh-CN"/>
        </w:rPr>
        <w:t>项目有效性分析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项目的资金使用，保证了相关前期行政审批手续的办理，确保了施工准备工作的顺利开展，为后续工程建设奠定了切实有效的强力基础。</w:t>
      </w:r>
      <w:r>
        <w:rPr>
          <w:rFonts w:ascii="仿宋_GB2312" w:hAnsi="仿宋_GB2312" w:cs="仿宋_GB2312"/>
          <w:szCs w:val="32"/>
        </w:rPr>
        <w:t xml:space="preserve"> </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lang w:eastAsia="zh-CN"/>
        </w:rPr>
        <w:t>项目可持续性分析</w:t>
      </w:r>
    </w:p>
    <w:p>
      <w:pPr>
        <w:keepNext w:val="0"/>
        <w:keepLines w:val="0"/>
        <w:pageBreakBefore w:val="0"/>
        <w:widowControl w:val="0"/>
        <w:kinsoku/>
        <w:wordWrap/>
        <w:overflowPunct/>
        <w:topLinePunct/>
        <w:autoSpaceDE/>
        <w:autoSpaceDN/>
        <w:bidi w:val="0"/>
        <w:adjustRightInd/>
        <w:snapToGrid/>
        <w:spacing w:line="580" w:lineRule="exact"/>
        <w:ind w:firstLine="594" w:firstLineChars="200"/>
        <w:jc w:val="both"/>
        <w:textAlignment w:val="auto"/>
        <w:rPr>
          <w:rFonts w:ascii="仿宋_GB2312" w:hAnsi="仿宋_GB2312" w:cs="仿宋_GB2312"/>
          <w:szCs w:val="32"/>
        </w:rPr>
      </w:pPr>
      <w:r>
        <w:rPr>
          <w:rFonts w:hint="eastAsia" w:ascii="仿宋_GB2312" w:hAnsi="仿宋_GB2312" w:cs="仿宋_GB2312"/>
          <w:szCs w:val="32"/>
        </w:rPr>
        <w:t>项目可研报告中充分考虑生态环境影响因素，道路设计按照昆明市海绵城市等建设标准，合理利用现有资源，避免污染及浪费，降低后期运营、维护费用。项目的建设将显著提升园区路网功能，美观园区整体环境，改善交通状况，为园区后期招商引资工作奠定良好基础。</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ind w:firstLine="594"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附件</w:t>
      </w:r>
      <w:r>
        <w:rPr>
          <w:rFonts w:hint="eastAsia" w:ascii="仿宋_GB2312" w:hAnsi="仿宋_GB2312" w:eastAsia="仿宋_GB2312" w:cs="仿宋_GB2312"/>
          <w:b w:val="0"/>
          <w:bCs w:val="0"/>
          <w:szCs w:val="32"/>
          <w:lang w:val="en-US" w:eastAsia="zh-CN"/>
        </w:rPr>
        <w:t>3</w:t>
      </w:r>
      <w:r>
        <w:rPr>
          <w:rFonts w:hint="eastAsia" w:ascii="仿宋_GB2312" w:hAnsi="仿宋_GB2312" w:eastAsia="仿宋_GB2312" w:cs="仿宋_GB2312"/>
          <w:b w:val="0"/>
          <w:bCs w:val="0"/>
          <w:szCs w:val="32"/>
        </w:rPr>
        <w:t>：</w:t>
      </w:r>
    </w:p>
    <w:tbl>
      <w:tblPr>
        <w:tblStyle w:val="3"/>
        <w:tblW w:w="843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435"/>
        <w:gridCol w:w="514"/>
        <w:gridCol w:w="698"/>
        <w:gridCol w:w="12"/>
        <w:gridCol w:w="5"/>
        <w:gridCol w:w="429"/>
        <w:gridCol w:w="1"/>
        <w:gridCol w:w="1958"/>
        <w:gridCol w:w="5"/>
        <w:gridCol w:w="7"/>
        <w:gridCol w:w="2173"/>
        <w:gridCol w:w="5"/>
        <w:gridCol w:w="1"/>
        <w:gridCol w:w="4"/>
        <w:gridCol w:w="2163"/>
        <w:gridCol w:w="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499" w:hRule="atLeast"/>
          <w:tblHeader/>
        </w:trPr>
        <w:tc>
          <w:tcPr>
            <w:tcW w:w="8415" w:type="dxa"/>
            <w:gridSpan w:val="16"/>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907" w:hRule="atLeast"/>
          <w:tblHeader/>
        </w:trPr>
        <w:tc>
          <w:tcPr>
            <w:tcW w:w="435"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一级指标</w:t>
            </w:r>
          </w:p>
        </w:tc>
        <w:tc>
          <w:tcPr>
            <w:tcW w:w="514"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二级指标</w:t>
            </w:r>
          </w:p>
        </w:tc>
        <w:tc>
          <w:tcPr>
            <w:tcW w:w="710"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三级</w:t>
            </w:r>
          </w:p>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指标</w:t>
            </w:r>
          </w:p>
        </w:tc>
        <w:tc>
          <w:tcPr>
            <w:tcW w:w="434"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自评分</w:t>
            </w:r>
          </w:p>
        </w:tc>
        <w:tc>
          <w:tcPr>
            <w:tcW w:w="1964" w:type="dxa"/>
            <w:gridSpan w:val="3"/>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具体指标</w:t>
            </w:r>
          </w:p>
        </w:tc>
        <w:tc>
          <w:tcPr>
            <w:tcW w:w="2185" w:type="dxa"/>
            <w:gridSpan w:val="3"/>
            <w:vAlign w:val="center"/>
          </w:tcPr>
          <w:p>
            <w:pPr>
              <w:widowControl/>
              <w:spacing w:line="260" w:lineRule="exact"/>
              <w:jc w:val="center"/>
              <w:rPr>
                <w:rFonts w:hint="eastAsia" w:ascii="仿宋_GB2312" w:hAnsi="宋体" w:eastAsia="仿宋_GB2312" w:cs="宋体"/>
                <w:b/>
                <w:color w:val="auto"/>
                <w:kern w:val="0"/>
                <w:sz w:val="21"/>
                <w:szCs w:val="21"/>
                <w:lang w:val="en-US" w:eastAsia="zh-CN"/>
              </w:rPr>
            </w:pPr>
            <w:r>
              <w:rPr>
                <w:rFonts w:hint="eastAsia" w:ascii="仿宋_GB2312" w:hAnsi="宋体" w:cs="宋体"/>
                <w:b/>
                <w:color w:val="auto"/>
                <w:kern w:val="0"/>
                <w:sz w:val="21"/>
                <w:szCs w:val="21"/>
              </w:rPr>
              <w:t>具体指标</w:t>
            </w:r>
            <w:r>
              <w:rPr>
                <w:rFonts w:hint="eastAsia" w:ascii="仿宋_GB2312" w:hAnsi="宋体" w:cs="宋体"/>
                <w:b/>
                <w:color w:val="auto"/>
                <w:kern w:val="0"/>
                <w:sz w:val="21"/>
                <w:szCs w:val="21"/>
                <w:lang w:val="en-US" w:eastAsia="zh-CN"/>
              </w:rPr>
              <w:t>说明</w:t>
            </w:r>
          </w:p>
        </w:tc>
        <w:tc>
          <w:tcPr>
            <w:tcW w:w="2173" w:type="dxa"/>
            <w:gridSpan w:val="4"/>
            <w:vAlign w:val="center"/>
          </w:tcPr>
          <w:p>
            <w:pPr>
              <w:widowControl/>
              <w:spacing w:line="260" w:lineRule="exact"/>
              <w:jc w:val="center"/>
              <w:rPr>
                <w:rFonts w:hint="eastAsia" w:ascii="仿宋_GB2312" w:hAnsi="宋体" w:cs="宋体"/>
                <w:b/>
                <w:color w:val="auto"/>
                <w:kern w:val="0"/>
                <w:sz w:val="21"/>
                <w:szCs w:val="21"/>
              </w:rPr>
            </w:pPr>
            <w:r>
              <w:rPr>
                <w:rFonts w:hint="eastAsia" w:ascii="仿宋_GB2312" w:hAnsi="宋体" w:cs="宋体"/>
                <w:b/>
                <w:color w:val="auto"/>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r>
              <w:rPr>
                <w:rFonts w:ascii="仿宋_GB2312" w:hAnsi="宋体" w:cs="宋体"/>
                <w:color w:val="auto"/>
                <w:kern w:val="0"/>
                <w:sz w:val="21"/>
                <w:szCs w:val="21"/>
              </w:rPr>
              <w:t>20</w:t>
            </w:r>
            <w:r>
              <w:rPr>
                <w:rFonts w:hint="eastAsia" w:ascii="仿宋_GB2312" w:hAnsi="宋体" w:cs="宋体"/>
                <w:color w:val="auto"/>
                <w:kern w:val="0"/>
                <w:sz w:val="21"/>
                <w:szCs w:val="21"/>
              </w:rPr>
              <w:t>分）</w:t>
            </w: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w:t>
            </w:r>
          </w:p>
          <w:p>
            <w:pPr>
              <w:widowControl/>
              <w:spacing w:line="260" w:lineRule="exact"/>
              <w:jc w:val="center"/>
              <w:rPr>
                <w:rFonts w:ascii="仿宋_GB2312" w:hAnsi="宋体" w:cs="宋体"/>
                <w:color w:val="auto"/>
                <w:kern w:val="0"/>
                <w:sz w:val="21"/>
                <w:szCs w:val="21"/>
              </w:rPr>
            </w:pPr>
            <w:r>
              <w:rPr>
                <w:rFonts w:ascii="仿宋_GB2312" w:hAnsi="宋体" w:cs="宋体"/>
                <w:color w:val="auto"/>
                <w:kern w:val="0"/>
                <w:sz w:val="21"/>
                <w:szCs w:val="21"/>
              </w:rPr>
              <w:t>(4</w:t>
            </w:r>
            <w:r>
              <w:rPr>
                <w:rFonts w:hint="eastAsia" w:ascii="仿宋_GB2312" w:hAnsi="宋体" w:cs="宋体"/>
                <w:color w:val="auto"/>
                <w:kern w:val="0"/>
                <w:sz w:val="21"/>
                <w:szCs w:val="21"/>
              </w:rPr>
              <w:t>分</w:t>
            </w:r>
            <w:r>
              <w:rPr>
                <w:rFonts w:ascii="仿宋_GB2312" w:hAnsi="宋体" w:cs="宋体"/>
                <w:color w:val="auto"/>
                <w:kern w:val="0"/>
                <w:sz w:val="21"/>
                <w:szCs w:val="21"/>
              </w:rPr>
              <w:t>)</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目标内容（</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gridSpan w:val="3"/>
            <w:vAlign w:val="center"/>
          </w:tcPr>
          <w:p>
            <w:pPr>
              <w:spacing w:line="260" w:lineRule="exact"/>
              <w:jc w:val="left"/>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highlight w:val="none"/>
                <w:lang w:val="en-US" w:eastAsia="zh-CN"/>
              </w:rPr>
              <w:t>1.项目有明确的产出指标、效益指标及满意度指标；</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2.目标明确细化：产出指标细化了数量指标、质量指标、时效指标，效益指标细化为经济效益指标、可持续影响指标，满意度指标细化为服务对象满意度指标。</w:t>
            </w:r>
          </w:p>
        </w:tc>
        <w:tc>
          <w:tcPr>
            <w:tcW w:w="2190" w:type="dxa"/>
            <w:gridSpan w:val="5"/>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设立了项目绩效目标；目标明确；目标细化；目标量化</w:t>
            </w:r>
          </w:p>
        </w:tc>
        <w:tc>
          <w:tcPr>
            <w:tcW w:w="2168" w:type="dxa"/>
            <w:gridSpan w:val="2"/>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设有目标（</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目标明确（</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目标细化（</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目标量化（</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过程</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决策依据（</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gridSpan w:val="3"/>
            <w:vAlign w:val="center"/>
          </w:tcPr>
          <w:p>
            <w:pPr>
              <w:widowControl/>
              <w:numPr>
                <w:ilvl w:val="0"/>
                <w:numId w:val="5"/>
              </w:numPr>
              <w:spacing w:line="260" w:lineRule="exact"/>
              <w:jc w:val="left"/>
              <w:rPr>
                <w:rFonts w:hint="default"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项目符合法律法规，符合经济社会发展规划、符合园区控制性详细规划；</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2、项目按照昆明呈贡信息产业园区管理委员会通知开展工作；</w:t>
            </w:r>
          </w:p>
          <w:p>
            <w:pPr>
              <w:widowControl/>
              <w:numPr>
                <w:ilvl w:val="0"/>
                <w:numId w:val="0"/>
              </w:numPr>
              <w:spacing w:line="260" w:lineRule="exact"/>
              <w:ind w:left="0" w:leftChars="0" w:firstLine="0" w:firstLineChars="0"/>
              <w:jc w:val="left"/>
              <w:rPr>
                <w:rFonts w:hint="default" w:ascii="仿宋_GB2312" w:hAnsi="宋体" w:eastAsia="仿宋_GB2312" w:cs="宋体"/>
                <w:color w:val="auto"/>
                <w:kern w:val="0"/>
                <w:sz w:val="21"/>
                <w:szCs w:val="21"/>
                <w:highlight w:val="none"/>
                <w:lang w:val="en-US" w:eastAsia="zh-CN" w:bidi="ar-SA"/>
              </w:rPr>
            </w:pPr>
            <w:r>
              <w:rPr>
                <w:rFonts w:hint="eastAsia" w:ascii="仿宋_GB2312" w:hAnsi="宋体" w:cs="宋体"/>
                <w:color w:val="auto"/>
                <w:kern w:val="0"/>
                <w:sz w:val="21"/>
                <w:szCs w:val="21"/>
                <w:highlight w:val="none"/>
                <w:lang w:val="en-US" w:eastAsia="zh-CN"/>
              </w:rPr>
              <w:t>3、项目针对园区基础设施薄弱，解决园区招商发展基础道路薄弱关键问题。</w:t>
            </w:r>
          </w:p>
        </w:tc>
        <w:tc>
          <w:tcPr>
            <w:tcW w:w="2190" w:type="dxa"/>
            <w:gridSpan w:val="5"/>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有关法律法规的明确规定；某一经济社会发展规划；某部门年度工作计划；某一实际问题和需求</w:t>
            </w:r>
          </w:p>
        </w:tc>
        <w:tc>
          <w:tcPr>
            <w:tcW w:w="2168"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符合法律法规（</w:t>
            </w:r>
            <w:r>
              <w:rPr>
                <w:rFonts w:ascii="仿宋_GB2312" w:hAnsi="宋体" w:cs="宋体"/>
                <w:color w:val="auto"/>
                <w:kern w:val="0"/>
                <w:sz w:val="21"/>
                <w:szCs w:val="21"/>
              </w:rPr>
              <w:t>1</w:t>
            </w:r>
            <w:r>
              <w:rPr>
                <w:rFonts w:hint="eastAsia" w:ascii="仿宋_GB2312" w:hAnsi="宋体" w:cs="宋体"/>
                <w:color w:val="auto"/>
                <w:kern w:val="0"/>
                <w:sz w:val="21"/>
                <w:szCs w:val="21"/>
              </w:rPr>
              <w:t>分）符合经济社会发展规划（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部门年度工作计划（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针对某一实际问题和需求（</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决策程序（</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项目符合</w:t>
            </w:r>
            <w:r>
              <w:rPr>
                <w:rFonts w:hint="eastAsia" w:ascii="仿宋_GB2312" w:hAnsi="宋体" w:cs="宋体"/>
                <w:color w:val="auto"/>
                <w:kern w:val="0"/>
                <w:sz w:val="21"/>
                <w:szCs w:val="21"/>
                <w:lang w:val="en-US" w:eastAsia="zh-CN"/>
              </w:rPr>
              <w:t>公司内部决策程序，符合招投标程序</w:t>
            </w:r>
            <w:r>
              <w:rPr>
                <w:rFonts w:hint="eastAsia" w:ascii="仿宋_GB2312" w:hAnsi="宋体" w:cs="宋体"/>
                <w:color w:val="auto"/>
                <w:kern w:val="0"/>
                <w:sz w:val="21"/>
                <w:szCs w:val="21"/>
              </w:rPr>
              <w:t>；</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申报、批复程序符合相关管理办法；</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项目</w:t>
            </w:r>
            <w:r>
              <w:rPr>
                <w:rFonts w:hint="eastAsia" w:ascii="仿宋_GB2312" w:hAnsi="宋体" w:cs="宋体"/>
                <w:color w:val="auto"/>
                <w:kern w:val="0"/>
                <w:sz w:val="21"/>
                <w:szCs w:val="21"/>
                <w:lang w:val="en-US" w:eastAsia="zh-CN"/>
              </w:rPr>
              <w:t>前期</w:t>
            </w:r>
            <w:r>
              <w:rPr>
                <w:rFonts w:hint="eastAsia" w:ascii="仿宋_GB2312" w:hAnsi="宋体" w:cs="宋体"/>
                <w:color w:val="auto"/>
                <w:kern w:val="0"/>
                <w:sz w:val="21"/>
                <w:szCs w:val="21"/>
              </w:rPr>
              <w:t>履</w:t>
            </w:r>
            <w:r>
              <w:rPr>
                <w:rFonts w:hint="eastAsia" w:ascii="仿宋_GB2312" w:hAnsi="宋体" w:cs="宋体"/>
                <w:color w:val="auto"/>
                <w:kern w:val="0"/>
                <w:sz w:val="21"/>
                <w:szCs w:val="21"/>
                <w:lang w:val="en-US" w:eastAsia="zh-CN"/>
              </w:rPr>
              <w:t>按流程办理相关前期行政审批程序</w:t>
            </w:r>
            <w:r>
              <w:rPr>
                <w:rFonts w:hint="eastAsia" w:ascii="仿宋_GB2312" w:hAnsi="宋体" w:cs="宋体"/>
                <w:color w:val="auto"/>
                <w:kern w:val="0"/>
                <w:sz w:val="21"/>
                <w:szCs w:val="21"/>
              </w:rPr>
              <w:t>手续</w:t>
            </w:r>
          </w:p>
        </w:tc>
        <w:tc>
          <w:tcPr>
            <w:tcW w:w="2190" w:type="dxa"/>
            <w:gridSpan w:val="5"/>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项目符合申报条件；申报、批复程序符合相关管理办法；项目调整履行了相应手续</w:t>
            </w:r>
          </w:p>
        </w:tc>
        <w:tc>
          <w:tcPr>
            <w:tcW w:w="2168"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符合申报条件（</w:t>
            </w:r>
            <w:r>
              <w:rPr>
                <w:rFonts w:ascii="仿宋_GB2312" w:hAnsi="宋体" w:cs="宋体"/>
                <w:color w:val="auto"/>
                <w:kern w:val="0"/>
                <w:sz w:val="21"/>
                <w:szCs w:val="21"/>
              </w:rPr>
              <w:t>2</w:t>
            </w:r>
            <w:r>
              <w:rPr>
                <w:rFonts w:hint="eastAsia" w:ascii="仿宋_GB2312" w:hAnsi="宋体" w:cs="宋体"/>
                <w:color w:val="auto"/>
                <w:kern w:val="0"/>
                <w:sz w:val="21"/>
                <w:szCs w:val="21"/>
              </w:rPr>
              <w:t>分）项目申报、批复程序符合管理办法（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项目调整履行了相应手续（</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分配办法（</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gridSpan w:val="3"/>
            <w:vAlign w:val="center"/>
          </w:tcPr>
          <w:p>
            <w:pPr>
              <w:widowControl/>
              <w:numPr>
                <w:ilvl w:val="0"/>
                <w:numId w:val="6"/>
              </w:numPr>
              <w:spacing w:line="260" w:lineRule="exact"/>
              <w:jc w:val="left"/>
              <w:rPr>
                <w:rFonts w:hint="eastAsia" w:ascii="仿宋_GB2312" w:hAnsi="宋体" w:cs="宋体"/>
                <w:color w:val="auto"/>
                <w:kern w:val="0"/>
                <w:sz w:val="21"/>
                <w:szCs w:val="21"/>
                <w:lang w:eastAsia="zh-CN"/>
              </w:rPr>
            </w:pPr>
            <w:r>
              <w:rPr>
                <w:rFonts w:hint="eastAsia" w:ascii="仿宋_GB2312" w:hAnsi="宋体" w:cs="宋体"/>
                <w:color w:val="auto"/>
                <w:kern w:val="0"/>
                <w:sz w:val="21"/>
                <w:szCs w:val="21"/>
                <w:lang w:val="en-US" w:eastAsia="zh-CN"/>
              </w:rPr>
              <w:t>项目</w:t>
            </w:r>
            <w:r>
              <w:rPr>
                <w:rFonts w:hint="eastAsia" w:ascii="仿宋_GB2312" w:hAnsi="宋体" w:cs="宋体"/>
                <w:color w:val="auto"/>
                <w:kern w:val="0"/>
                <w:sz w:val="21"/>
                <w:szCs w:val="21"/>
              </w:rPr>
              <w:t>有</w:t>
            </w:r>
            <w:r>
              <w:rPr>
                <w:rFonts w:hint="eastAsia" w:ascii="仿宋_GB2312" w:hAnsi="宋体" w:cs="宋体"/>
                <w:color w:val="auto"/>
                <w:kern w:val="0"/>
                <w:sz w:val="21"/>
                <w:szCs w:val="21"/>
                <w:lang w:val="en-US" w:eastAsia="zh-CN"/>
              </w:rPr>
              <w:t>相关</w:t>
            </w:r>
            <w:r>
              <w:rPr>
                <w:rFonts w:hint="eastAsia" w:ascii="仿宋_GB2312" w:hAnsi="宋体" w:cs="宋体"/>
                <w:color w:val="auto"/>
                <w:kern w:val="0"/>
                <w:sz w:val="21"/>
                <w:szCs w:val="21"/>
              </w:rPr>
              <w:t>资金管理办法</w:t>
            </w:r>
            <w:r>
              <w:rPr>
                <w:rFonts w:hint="eastAsia" w:ascii="仿宋_GB2312" w:hAnsi="宋体" w:cs="宋体"/>
                <w:color w:val="auto"/>
                <w:kern w:val="0"/>
                <w:sz w:val="21"/>
                <w:szCs w:val="21"/>
                <w:lang w:eastAsia="zh-CN"/>
              </w:rPr>
              <w:t>；</w:t>
            </w:r>
          </w:p>
          <w:p>
            <w:pPr>
              <w:widowControl/>
              <w:numPr>
                <w:ilvl w:val="0"/>
                <w:numId w:val="6"/>
              </w:numPr>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项目资金管理</w:t>
            </w:r>
            <w:r>
              <w:rPr>
                <w:rFonts w:hint="eastAsia" w:ascii="仿宋_GB2312" w:hAnsi="宋体" w:cs="宋体"/>
                <w:color w:val="auto"/>
                <w:kern w:val="0"/>
                <w:sz w:val="21"/>
                <w:szCs w:val="21"/>
              </w:rPr>
              <w:t>办法健全、规范</w:t>
            </w:r>
            <w:r>
              <w:rPr>
                <w:rFonts w:hint="eastAsia" w:ascii="仿宋_GB2312" w:hAnsi="宋体" w:cs="宋体"/>
                <w:color w:val="auto"/>
                <w:kern w:val="0"/>
                <w:sz w:val="21"/>
                <w:szCs w:val="21"/>
                <w:lang w:eastAsia="zh-CN"/>
              </w:rPr>
              <w:t>；</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3、项目资金分配</w:t>
            </w:r>
            <w:r>
              <w:rPr>
                <w:rFonts w:hint="eastAsia" w:ascii="仿宋_GB2312" w:hAnsi="宋体" w:cs="宋体"/>
                <w:color w:val="auto"/>
                <w:kern w:val="0"/>
                <w:sz w:val="21"/>
                <w:szCs w:val="21"/>
              </w:rPr>
              <w:t>因素全面合理</w:t>
            </w:r>
          </w:p>
        </w:tc>
        <w:tc>
          <w:tcPr>
            <w:tcW w:w="2190" w:type="dxa"/>
            <w:gridSpan w:val="5"/>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根据需要制定的相关资金管理办法；管理办法中有明确资金分配办法；资金分配因素全面、合理</w:t>
            </w:r>
          </w:p>
        </w:tc>
        <w:tc>
          <w:tcPr>
            <w:tcW w:w="2168"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有相应的资金管理办法（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办法健全、规范（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因素全面合理（</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分配结果（</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项目有</w:t>
            </w:r>
            <w:r>
              <w:rPr>
                <w:rFonts w:hint="eastAsia" w:ascii="仿宋_GB2312" w:hAnsi="宋体" w:cs="宋体"/>
                <w:color w:val="auto"/>
                <w:kern w:val="0"/>
                <w:sz w:val="21"/>
                <w:szCs w:val="21"/>
              </w:rPr>
              <w:t>资金分配符合相关管理办法；分配结果</w:t>
            </w:r>
            <w:r>
              <w:rPr>
                <w:rFonts w:hint="eastAsia" w:ascii="仿宋_GB2312" w:hAnsi="宋体" w:cs="宋体"/>
                <w:color w:val="auto"/>
                <w:kern w:val="0"/>
                <w:sz w:val="21"/>
                <w:szCs w:val="21"/>
                <w:lang w:val="en-US" w:eastAsia="zh-CN"/>
              </w:rPr>
              <w:t>按照项目前期相关成果及合同</w:t>
            </w:r>
            <w:r>
              <w:rPr>
                <w:rFonts w:hint="eastAsia" w:ascii="仿宋_GB2312" w:hAnsi="宋体" w:cs="宋体"/>
                <w:color w:val="auto"/>
                <w:kern w:val="0"/>
                <w:sz w:val="21"/>
                <w:szCs w:val="21"/>
              </w:rPr>
              <w:t>公平合理</w:t>
            </w:r>
          </w:p>
        </w:tc>
        <w:tc>
          <w:tcPr>
            <w:tcW w:w="2190" w:type="dxa"/>
            <w:gridSpan w:val="5"/>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资金分配符合相关管理办法；分配结果公平合理</w:t>
            </w:r>
          </w:p>
        </w:tc>
        <w:tc>
          <w:tcPr>
            <w:tcW w:w="2168"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符合分配办法（</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分配公平合理（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w:t>
            </w:r>
            <w:r>
              <w:rPr>
                <w:rFonts w:hint="eastAsia" w:ascii="仿宋_GB2312" w:hAnsi="宋体" w:cs="宋体"/>
                <w:color w:val="auto"/>
                <w:kern w:val="0"/>
                <w:sz w:val="21"/>
                <w:szCs w:val="21"/>
                <w:lang w:val="en-US" w:eastAsia="zh-CN"/>
              </w:rPr>
              <w:t>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4</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highlight w:val="none"/>
                <w:lang w:val="en-US" w:eastAsia="zh-CN"/>
              </w:rPr>
              <w:t>现阶段项目资金实际到位率100%</w:t>
            </w:r>
          </w:p>
        </w:tc>
        <w:tc>
          <w:tcPr>
            <w:tcW w:w="2190" w:type="dxa"/>
            <w:gridSpan w:val="5"/>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实际到位</w:t>
            </w:r>
            <w:r>
              <w:rPr>
                <w:rFonts w:ascii="仿宋_GB2312" w:hAnsi="宋体" w:cs="宋体"/>
                <w:color w:val="auto"/>
                <w:kern w:val="0"/>
                <w:sz w:val="21"/>
                <w:szCs w:val="21"/>
              </w:rPr>
              <w:t>/</w:t>
            </w:r>
            <w:r>
              <w:rPr>
                <w:rFonts w:hint="eastAsia" w:ascii="仿宋_GB2312" w:hAnsi="宋体" w:cs="宋体"/>
                <w:color w:val="auto"/>
                <w:kern w:val="0"/>
                <w:sz w:val="21"/>
                <w:szCs w:val="21"/>
              </w:rPr>
              <w:t>计划到位</w:t>
            </w:r>
            <w:r>
              <w:rPr>
                <w:rFonts w:ascii="仿宋_GB2312" w:hAnsi="宋体" w:cs="宋体"/>
                <w:color w:val="auto"/>
                <w:kern w:val="0"/>
                <w:sz w:val="21"/>
                <w:szCs w:val="21"/>
              </w:rPr>
              <w:t>*100%</w:t>
            </w:r>
          </w:p>
        </w:tc>
        <w:tc>
          <w:tcPr>
            <w:tcW w:w="2168" w:type="dxa"/>
            <w:gridSpan w:val="2"/>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根据项目资金的实际到位率计算得分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到位时效（</w:t>
            </w:r>
            <w:r>
              <w:rPr>
                <w:rFonts w:ascii="仿宋_GB2312" w:hAnsi="宋体" w:cs="宋体"/>
                <w:color w:val="auto"/>
                <w:kern w:val="0"/>
                <w:sz w:val="21"/>
                <w:szCs w:val="21"/>
              </w:rPr>
              <w:t>2</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项目资金及时</w:t>
            </w:r>
            <w:r>
              <w:rPr>
                <w:rFonts w:hint="eastAsia" w:ascii="仿宋_GB2312" w:hAnsi="宋体" w:cs="宋体"/>
                <w:color w:val="auto"/>
                <w:kern w:val="0"/>
                <w:sz w:val="21"/>
                <w:szCs w:val="21"/>
              </w:rPr>
              <w:t>到位</w:t>
            </w:r>
            <w:r>
              <w:rPr>
                <w:rFonts w:hint="eastAsia" w:ascii="仿宋_GB2312" w:hAnsi="宋体" w:cs="宋体"/>
                <w:color w:val="auto"/>
                <w:kern w:val="0"/>
                <w:sz w:val="21"/>
                <w:szCs w:val="21"/>
                <w:lang w:val="en-US" w:eastAsia="zh-CN"/>
              </w:rPr>
              <w:t>并</w:t>
            </w:r>
            <w:r>
              <w:rPr>
                <w:rFonts w:hint="eastAsia" w:ascii="仿宋_GB2312" w:hAnsi="宋体" w:cs="宋体"/>
                <w:color w:val="auto"/>
                <w:kern w:val="0"/>
                <w:sz w:val="21"/>
                <w:szCs w:val="21"/>
              </w:rPr>
              <w:t>未影响项目进度</w:t>
            </w:r>
            <w:r>
              <w:rPr>
                <w:rFonts w:ascii="仿宋_GB2312" w:hAnsi="宋体" w:cs="宋体"/>
                <w:color w:val="auto"/>
                <w:kern w:val="0"/>
                <w:sz w:val="21"/>
                <w:szCs w:val="21"/>
              </w:rPr>
              <w:t xml:space="preserve"> </w:t>
            </w:r>
          </w:p>
        </w:tc>
        <w:tc>
          <w:tcPr>
            <w:tcW w:w="2190" w:type="dxa"/>
            <w:gridSpan w:val="5"/>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资金及时到位；若未及时到位，是否影响项目进度</w:t>
            </w:r>
          </w:p>
        </w:tc>
        <w:tc>
          <w:tcPr>
            <w:tcW w:w="2168"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到位及时（</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不及时但未影响项目进度</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不及时并影响项目进度（</w:t>
            </w:r>
            <w:r>
              <w:rPr>
                <w:rFonts w:ascii="仿宋_GB2312" w:hAnsi="宋体" w:cs="宋体"/>
                <w:color w:val="auto"/>
                <w:kern w:val="0"/>
                <w:sz w:val="21"/>
                <w:szCs w:val="21"/>
              </w:rPr>
              <w:t>0.5</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资金使用（</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90" w:type="dxa"/>
            <w:gridSpan w:val="5"/>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68"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虚列套取扣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依据不合规扣</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截留、挤占、挪用</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超标准开支扣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超预算扣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财务管理（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71" w:type="dxa"/>
            <w:gridSpan w:val="4"/>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财务制度健全（</w:t>
            </w:r>
            <w:r>
              <w:rPr>
                <w:rFonts w:ascii="仿宋_GB2312" w:hAnsi="宋体" w:cs="宋体"/>
                <w:color w:val="auto"/>
                <w:kern w:val="0"/>
                <w:sz w:val="21"/>
                <w:szCs w:val="21"/>
              </w:rPr>
              <w:t>1</w:t>
            </w:r>
            <w:r>
              <w:rPr>
                <w:rFonts w:hint="eastAsia" w:ascii="仿宋_GB2312" w:hAnsi="宋体" w:cs="宋体"/>
                <w:color w:val="auto"/>
                <w:kern w:val="0"/>
                <w:sz w:val="21"/>
                <w:szCs w:val="21"/>
              </w:rPr>
              <w:t>分）严格执行制度（</w:t>
            </w:r>
            <w:r>
              <w:rPr>
                <w:rFonts w:ascii="仿宋_GB2312" w:hAnsi="宋体" w:cs="宋体"/>
                <w:color w:val="auto"/>
                <w:kern w:val="0"/>
                <w:sz w:val="21"/>
                <w:szCs w:val="21"/>
              </w:rPr>
              <w:t>1</w:t>
            </w:r>
            <w:r>
              <w:rPr>
                <w:rFonts w:hint="eastAsia" w:ascii="仿宋_GB2312" w:hAnsi="宋体" w:cs="宋体"/>
                <w:color w:val="auto"/>
                <w:kern w:val="0"/>
                <w:sz w:val="21"/>
                <w:szCs w:val="21"/>
              </w:rPr>
              <w:t>分）会计核算规范（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组织机构（</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1971" w:type="dxa"/>
            <w:gridSpan w:val="4"/>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w:t>
            </w:r>
            <w:r>
              <w:rPr>
                <w:rFonts w:hint="eastAsia" w:ascii="仿宋_GB2312" w:hAnsi="宋体" w:cs="宋体"/>
                <w:color w:val="auto"/>
                <w:kern w:val="0"/>
                <w:sz w:val="21"/>
                <w:szCs w:val="21"/>
              </w:rPr>
              <w:t>机构健全、分工明确</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机构健全、分工明确</w:t>
            </w:r>
          </w:p>
        </w:tc>
        <w:tc>
          <w:tcPr>
            <w:tcW w:w="2173" w:type="dxa"/>
            <w:gridSpan w:val="4"/>
            <w:vAlign w:val="center"/>
          </w:tcPr>
          <w:p>
            <w:pPr>
              <w:widowControl/>
              <w:spacing w:line="260" w:lineRule="exact"/>
              <w:ind w:left="187" w:leftChars="0" w:hanging="187" w:hangingChars="100"/>
              <w:jc w:val="left"/>
              <w:rPr>
                <w:rFonts w:hint="eastAsia" w:ascii="仿宋_GB2312" w:hAnsi="宋体" w:cs="宋体"/>
                <w:color w:val="auto"/>
                <w:kern w:val="0"/>
                <w:sz w:val="21"/>
                <w:szCs w:val="21"/>
              </w:rPr>
            </w:pPr>
            <w:r>
              <w:rPr>
                <w:rFonts w:hint="eastAsia" w:ascii="仿宋_GB2312" w:hAnsi="宋体" w:cs="宋体"/>
                <w:color w:val="auto"/>
                <w:kern w:val="0"/>
                <w:sz w:val="21"/>
                <w:szCs w:val="21"/>
              </w:rPr>
              <w:t>机构健全、分工明确</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(25</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项目实施（</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71" w:type="dxa"/>
            <w:gridSpan w:val="4"/>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项目按照计划进度开展并完成了可行性研究、规划国土意见、环境影响评价、规划红线、初步设计等前期工作</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项目按计划开工；按计划进度开展；按计划完工</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按计划开工（</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按计划开展（</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按计划完工（</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管理制度（</w:t>
            </w:r>
            <w:r>
              <w:rPr>
                <w:rFonts w:ascii="仿宋_GB2312" w:hAnsi="宋体" w:cs="宋体"/>
                <w:color w:val="auto"/>
                <w:kern w:val="0"/>
                <w:sz w:val="21"/>
                <w:szCs w:val="21"/>
              </w:rPr>
              <w:t>6</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71" w:type="dxa"/>
            <w:gridSpan w:val="4"/>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73" w:type="dxa"/>
            <w:gridSpan w:val="4"/>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管理制度健全（</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制度执行严格（</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绩效</w:t>
            </w:r>
            <w:r>
              <w:rPr>
                <w:rFonts w:hint="eastAsia" w:ascii="仿宋_GB2312" w:hAnsi="宋体" w:cs="宋体"/>
                <w:color w:val="auto"/>
                <w:kern w:val="0"/>
                <w:sz w:val="21"/>
                <w:szCs w:val="21"/>
                <w:lang w:val="en-US" w:eastAsia="zh-CN"/>
              </w:rPr>
              <w:t xml:space="preserve"> </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20</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产出数量（</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71" w:type="dxa"/>
            <w:gridSpan w:val="4"/>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已按照绩效目标已完成项目可研立项批复、规划意见、国土意见、规划道路红线、环评登记表、矿压查询等项目前期工作，并超额完成了项目初步设计批复</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根据该项目实际，标识具体明确的产出数量</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对照绩效目标，按实际产出数量率计算得分（</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产出质量（</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71" w:type="dxa"/>
            <w:gridSpan w:val="4"/>
            <w:vAlign w:val="center"/>
          </w:tcPr>
          <w:p>
            <w:pPr>
              <w:widowControl/>
              <w:spacing w:line="260" w:lineRule="exact"/>
              <w:jc w:val="left"/>
              <w:rPr>
                <w:rFonts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rPr>
              <w:t>项目按质按量完成项目前期手续办理满足项目合规性</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根据该项目实际，标识具体明确的产出质量</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对照绩效目标，按实际产出质量率计算得分（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产出时效（</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71" w:type="dxa"/>
            <w:gridSpan w:val="4"/>
            <w:vAlign w:val="center"/>
          </w:tcPr>
          <w:p>
            <w:pPr>
              <w:widowControl/>
              <w:spacing w:line="260" w:lineRule="exact"/>
              <w:jc w:val="left"/>
              <w:rPr>
                <w:rFonts w:hint="default"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lang w:val="en-US" w:eastAsia="zh-CN"/>
              </w:rPr>
              <w:t>项目完成了项目可研立项批复、规划意见、道路红线、环评、矿压查询等项目前期工作</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根据该项目实际，标识具体明确的产出时效</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对照绩效目标，按实际产出时效率计算得分（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产出成本（</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71" w:type="dxa"/>
            <w:gridSpan w:val="4"/>
            <w:vAlign w:val="center"/>
          </w:tcPr>
          <w:p>
            <w:pPr>
              <w:widowControl/>
              <w:spacing w:line="260" w:lineRule="exact"/>
              <w:jc w:val="left"/>
              <w:rPr>
                <w:rFonts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rPr>
              <w:t>根据该项目实际，标识具体明确的产出成本</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对照绩效目标，按实际产出成本率计算得分（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rPr>
                <w:rFonts w:ascii="仿宋_GB2312" w:hAnsi="宋体" w:cs="宋体"/>
                <w:color w:val="auto"/>
                <w:kern w:val="0"/>
                <w:sz w:val="21"/>
                <w:szCs w:val="21"/>
              </w:rPr>
            </w:pP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效果</w:t>
            </w:r>
            <w:r>
              <w:rPr>
                <w:rFonts w:ascii="仿宋_GB2312" w:hAnsi="宋体" w:cs="宋体"/>
                <w:color w:val="auto"/>
                <w:kern w:val="0"/>
                <w:sz w:val="21"/>
                <w:szCs w:val="21"/>
              </w:rPr>
              <w:t>(40</w:t>
            </w:r>
            <w:r>
              <w:rPr>
                <w:rFonts w:hint="eastAsia" w:ascii="仿宋_GB2312" w:hAnsi="宋体" w:cs="宋体"/>
                <w:color w:val="auto"/>
                <w:kern w:val="0"/>
                <w:sz w:val="21"/>
                <w:szCs w:val="21"/>
              </w:rPr>
              <w:t>分）</w:t>
            </w: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经济效益（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71" w:type="dxa"/>
            <w:gridSpan w:val="4"/>
            <w:vAlign w:val="center"/>
          </w:tcPr>
          <w:p>
            <w:pPr>
              <w:widowControl/>
              <w:spacing w:line="260" w:lineRule="exact"/>
              <w:jc w:val="left"/>
              <w:rPr>
                <w:rFonts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已完成项目可研立项批复、规划意见、国土意见、规划道路红线、环评登记表、矿压查询等项目前期工作，为园区道路建设提升园区整体形象，为园区招商引资工作提供合规性基础保障</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根据项目实际，标识所产生的直接或间接的经济效益</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对照绩效目标，按经济效益实现程度计算得分（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社会效益（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8</w:t>
            </w:r>
          </w:p>
        </w:tc>
        <w:tc>
          <w:tcPr>
            <w:tcW w:w="1971" w:type="dxa"/>
            <w:gridSpan w:val="4"/>
            <w:vAlign w:val="center"/>
          </w:tcPr>
          <w:p>
            <w:pPr>
              <w:widowControl/>
              <w:spacing w:line="260" w:lineRule="exact"/>
              <w:jc w:val="center"/>
              <w:rPr>
                <w:rFonts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w:t>
            </w:r>
            <w:r>
              <w:rPr>
                <w:rFonts w:hint="eastAsia" w:ascii="仿宋_GB2312" w:hAnsi="宋体" w:cs="宋体"/>
                <w:color w:val="auto"/>
                <w:kern w:val="0"/>
                <w:sz w:val="21"/>
                <w:szCs w:val="21"/>
              </w:rPr>
              <w:t>为园区道路建设对园区可持续发展提供合规性基础保障</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根据项目实际，标识所产生的社会效益</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对照绩效目标，按社会效益实现程度计算得分（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环境效益（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71" w:type="dxa"/>
            <w:gridSpan w:val="4"/>
            <w:vAlign w:val="center"/>
          </w:tcPr>
          <w:p>
            <w:pPr>
              <w:widowControl/>
              <w:spacing w:line="260" w:lineRule="exact"/>
              <w:jc w:val="left"/>
              <w:rPr>
                <w:rFonts w:hint="default"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已完成项目可研立项批复、规划意见、国土意见、规划道路红线、环评登记表、矿压查询等项目前期工作，为绿美园区建设、良好的投资环境营造创造了条件。</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根据项目实际，标识对环境所产生的积极或消极影响</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对照绩效目标，按对环境所产生的实际影响程度计算得分（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可持续影响（</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71" w:type="dxa"/>
            <w:gridSpan w:val="4"/>
            <w:vAlign w:val="center"/>
          </w:tcPr>
          <w:p>
            <w:pPr>
              <w:widowControl/>
              <w:spacing w:line="260" w:lineRule="exact"/>
              <w:jc w:val="left"/>
              <w:rPr>
                <w:rFonts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lang w:val="en-US" w:eastAsia="zh-CN"/>
              </w:rPr>
              <w:t>已完成项目可研立项批复、规划意见、国土意见、规划道路红线、环评登记表、矿压查询等项目前期工作，</w:t>
            </w:r>
            <w:r>
              <w:rPr>
                <w:rFonts w:hint="eastAsia" w:ascii="仿宋_GB2312" w:hAnsi="宋体" w:cs="宋体"/>
                <w:color w:val="auto"/>
                <w:kern w:val="0"/>
                <w:sz w:val="21"/>
                <w:szCs w:val="21"/>
              </w:rPr>
              <w:t>为园区道路建设对园区可持续发展提供合规性基础保障</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项目产出能持续运用；项目运行所依赖的政策制度能持续执行</w:t>
            </w:r>
          </w:p>
        </w:tc>
        <w:tc>
          <w:tcPr>
            <w:tcW w:w="2173" w:type="dxa"/>
            <w:gridSpan w:val="4"/>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w:t>
            </w:r>
            <w:r>
              <w:rPr>
                <w:rFonts w:ascii="仿宋_GB2312" w:hAnsi="宋体" w:cs="宋体"/>
                <w:color w:val="auto"/>
                <w:kern w:val="0"/>
                <w:sz w:val="21"/>
                <w:szCs w:val="21"/>
              </w:rPr>
              <w:t>4</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所依赖的政策制度能持续执行（</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71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服务对象满意度</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29"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71" w:type="dxa"/>
            <w:gridSpan w:val="4"/>
            <w:vAlign w:val="center"/>
          </w:tcPr>
          <w:p>
            <w:pPr>
              <w:widowControl/>
              <w:spacing w:line="260" w:lineRule="exact"/>
              <w:jc w:val="left"/>
              <w:rPr>
                <w:rFonts w:ascii="仿宋_GB2312" w:hAnsi="宋体" w:eastAsia="仿宋_GB2312" w:cs="宋体"/>
                <w:color w:val="auto"/>
                <w:kern w:val="0"/>
                <w:sz w:val="21"/>
                <w:szCs w:val="21"/>
                <w:lang w:val="en-US" w:eastAsia="zh-CN" w:bidi="ar-SA"/>
              </w:rPr>
            </w:pPr>
            <w:r>
              <w:rPr>
                <w:rFonts w:hint="eastAsia" w:ascii="仿宋_GB2312" w:hAnsi="宋体" w:cs="宋体"/>
                <w:color w:val="auto"/>
                <w:kern w:val="0"/>
                <w:sz w:val="21"/>
                <w:szCs w:val="21"/>
              </w:rPr>
              <w:t>园区工作人员对项目建成的满意度达到满意标准</w:t>
            </w:r>
          </w:p>
        </w:tc>
        <w:tc>
          <w:tcPr>
            <w:tcW w:w="2179"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项目预期服务对象对项目实施的满意程度</w:t>
            </w:r>
          </w:p>
        </w:tc>
        <w:tc>
          <w:tcPr>
            <w:tcW w:w="2173" w:type="dxa"/>
            <w:gridSpan w:val="4"/>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按收集到的项目服务对象的满意率计算得分（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6" w:type="dxa"/>
          <w:trHeight w:val="459" w:hRule="atLeast"/>
        </w:trPr>
        <w:tc>
          <w:tcPr>
            <w:tcW w:w="1662" w:type="dxa"/>
            <w:gridSpan w:val="4"/>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总分</w:t>
            </w:r>
          </w:p>
        </w:tc>
        <w:tc>
          <w:tcPr>
            <w:tcW w:w="447" w:type="dxa"/>
            <w:gridSpan w:val="4"/>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93</w:t>
            </w:r>
          </w:p>
        </w:tc>
        <w:tc>
          <w:tcPr>
            <w:tcW w:w="1958"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85" w:type="dxa"/>
            <w:gridSpan w:val="3"/>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73" w:type="dxa"/>
            <w:gridSpan w:val="4"/>
            <w:vAlign w:val="center"/>
          </w:tcPr>
          <w:p>
            <w:pPr>
              <w:widowControl/>
              <w:spacing w:line="260" w:lineRule="exact"/>
              <w:jc w:val="center"/>
              <w:rPr>
                <w:rFonts w:hint="eastAsia" w:ascii="仿宋_GB2312" w:hAnsi="宋体" w:cs="宋体"/>
                <w:color w:val="auto"/>
                <w:kern w:val="0"/>
                <w:sz w:val="21"/>
                <w:szCs w:val="21"/>
              </w:rPr>
            </w:pPr>
          </w:p>
        </w:tc>
      </w:tr>
    </w:tbl>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numPr>
          <w:ilvl w:val="0"/>
          <w:numId w:val="0"/>
        </w:numPr>
        <w:ind w:firstLine="594" w:firstLineChars="200"/>
        <w:rPr>
          <w:rFonts w:hint="eastAsia" w:ascii="仿宋_GB2312"/>
          <w:b/>
          <w:szCs w:val="32"/>
        </w:rPr>
      </w:pPr>
      <w:r>
        <w:rPr>
          <w:rFonts w:hint="eastAsia" w:ascii="仿宋_GB2312"/>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昆明呈贡信息产业园区管理委员会</w:t>
      </w:r>
    </w:p>
    <w:p>
      <w:pPr>
        <w:pageBreakBefore w:val="0"/>
        <w:widowControl w:val="0"/>
        <w:kinsoku/>
        <w:wordWrap/>
        <w:overflowPunct/>
        <w:autoSpaceDE/>
        <w:autoSpaceDN/>
        <w:bidi w:val="0"/>
        <w:adjustRightInd/>
        <w:snapToGrid/>
        <w:spacing w:line="560" w:lineRule="exact"/>
        <w:jc w:val="center"/>
        <w:textAlignment w:val="auto"/>
        <w:rPr>
          <w:rFonts w:ascii="仿宋_GB2312"/>
          <w:szCs w:val="32"/>
        </w:rPr>
      </w:pPr>
      <w:r>
        <w:rPr>
          <w:rFonts w:hint="default" w:ascii="Times New Roman" w:hAnsi="Times New Roman" w:eastAsia="仿宋_GB2312" w:cs="Times New Roman"/>
          <w:lang w:val="en-US" w:eastAsia="zh-CN"/>
        </w:rPr>
        <w:t xml:space="preserve">                           202</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4</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A5A0399B"/>
    <w:multiLevelType w:val="singleLevel"/>
    <w:tmpl w:val="A5A0399B"/>
    <w:lvl w:ilvl="0" w:tentative="0">
      <w:start w:val="1"/>
      <w:numFmt w:val="decimal"/>
      <w:suff w:val="nothing"/>
      <w:lvlText w:val="%1、"/>
      <w:lvlJc w:val="left"/>
    </w:lvl>
  </w:abstractNum>
  <w:abstractNum w:abstractNumId="3">
    <w:nsid w:val="F8A2BB82"/>
    <w:multiLevelType w:val="singleLevel"/>
    <w:tmpl w:val="F8A2BB82"/>
    <w:lvl w:ilvl="0" w:tentative="0">
      <w:start w:val="1"/>
      <w:numFmt w:val="decimal"/>
      <w:suff w:val="nothing"/>
      <w:lvlText w:val="%1、"/>
      <w:lvlJc w:val="left"/>
    </w:lvl>
  </w:abstractNum>
  <w:abstractNum w:abstractNumId="4">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5">
    <w:nsid w:val="43B18715"/>
    <w:multiLevelType w:val="singleLevel"/>
    <w:tmpl w:val="43B18715"/>
    <w:lvl w:ilvl="0" w:tentative="0">
      <w:start w:val="2"/>
      <w:numFmt w:val="chineseCounting"/>
      <w:suff w:val="nothing"/>
      <w:lvlText w:val="（%1）"/>
      <w:lvlJc w:val="left"/>
      <w:rPr>
        <w:rFonts w:hint="eastAsia"/>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5AE36CA"/>
    <w:rsid w:val="06525C14"/>
    <w:rsid w:val="08563735"/>
    <w:rsid w:val="0D00098C"/>
    <w:rsid w:val="0D491A00"/>
    <w:rsid w:val="0F4F7876"/>
    <w:rsid w:val="177C1352"/>
    <w:rsid w:val="198F4B69"/>
    <w:rsid w:val="1C2F476E"/>
    <w:rsid w:val="1DCC50BC"/>
    <w:rsid w:val="22B90AA8"/>
    <w:rsid w:val="252F7B2C"/>
    <w:rsid w:val="26FA32E8"/>
    <w:rsid w:val="291D06AC"/>
    <w:rsid w:val="2A957D1D"/>
    <w:rsid w:val="34BA06A5"/>
    <w:rsid w:val="378A5996"/>
    <w:rsid w:val="3AA426C0"/>
    <w:rsid w:val="4181566C"/>
    <w:rsid w:val="4BC91A36"/>
    <w:rsid w:val="51C05EE5"/>
    <w:rsid w:val="549E2D4D"/>
    <w:rsid w:val="5A3C6978"/>
    <w:rsid w:val="5F4906C8"/>
    <w:rsid w:val="657C5E19"/>
    <w:rsid w:val="67600811"/>
    <w:rsid w:val="6DD56D9C"/>
    <w:rsid w:val="6E710353"/>
    <w:rsid w:val="70504C99"/>
    <w:rsid w:val="789D155E"/>
    <w:rsid w:val="7B6F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正文"/>
    <w:basedOn w:val="1"/>
    <w:link w:val="7"/>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7">
    <w:name w:val="*正文 Char"/>
    <w:link w:val="6"/>
    <w:qFormat/>
    <w:uiPriority w:val="0"/>
    <w:rPr>
      <w:rFonts w:ascii="宋体" w:hAnsi="宋体" w:eastAsia="宋体" w:cs="Times New Roman"/>
      <w:snapToGrid w:val="0"/>
      <w:kern w:val="2"/>
      <w:sz w:val="24"/>
      <w:szCs w:val="21"/>
      <w:lang w:val="zh-CN"/>
    </w:rPr>
  </w:style>
  <w:style w:type="paragraph" w:customStyle="1" w:styleId="8">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9">
    <w:name w:val="BodyText"/>
    <w:basedOn w:val="1"/>
    <w:qFormat/>
    <w:uiPriority w:val="0"/>
    <w:pPr>
      <w:spacing w:after="120"/>
      <w:textAlignment w:val="baseline"/>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Lines>12</Lines>
  <Paragraphs>3</Paragraphs>
  <TotalTime>1</TotalTime>
  <ScaleCrop>false</ScaleCrop>
  <LinksUpToDate>false</LinksUpToDate>
  <CharactersWithSpaces>1802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西北半张脸</cp:lastModifiedBy>
  <cp:lastPrinted>2020-03-17T03:50:00Z</cp:lastPrinted>
  <dcterms:modified xsi:type="dcterms:W3CDTF">2023-09-26T06:34:53Z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