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w:t>
      </w:r>
      <w:r>
        <w:rPr>
          <w:rFonts w:hint="eastAsia" w:ascii="仿宋_GB2312" w:hAnsi="华文中宋"/>
          <w:bCs/>
          <w:szCs w:val="32"/>
        </w:rPr>
        <w:t>:</w:t>
      </w:r>
    </w:p>
    <w:p>
      <w:pPr>
        <w:rPr>
          <w:rFonts w:ascii="黑体" w:eastAsia="黑体"/>
          <w:szCs w:val="32"/>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呈贡区万溪核心区二期二阶段第十四批次城市建设用地项目支出绩效评价报告</w:t>
      </w:r>
    </w:p>
    <w:p>
      <w:pPr>
        <w:spacing w:line="600" w:lineRule="exact"/>
        <w:ind w:firstLine="594" w:firstLineChars="200"/>
        <w:rPr>
          <w:rFonts w:ascii="仿宋_GB2312"/>
          <w:b/>
          <w:szCs w:val="32"/>
        </w:rPr>
      </w:pPr>
      <w:bookmarkStart w:id="2" w:name="_GoBack"/>
      <w:bookmarkEnd w:id="2"/>
    </w:p>
    <w:p>
      <w:pPr>
        <w:numPr>
          <w:ilvl w:val="0"/>
          <w:numId w:val="2"/>
        </w:numPr>
        <w:topLinePunct/>
        <w:ind w:firstLine="594" w:firstLineChars="200"/>
        <w:rPr>
          <w:rFonts w:hint="eastAsia" w:ascii="黑体" w:eastAsia="黑体"/>
          <w:szCs w:val="32"/>
        </w:rPr>
      </w:pPr>
      <w:r>
        <w:rPr>
          <w:rFonts w:hint="eastAsia" w:ascii="黑体" w:eastAsia="黑体"/>
          <w:szCs w:val="32"/>
        </w:rPr>
        <w:t>项目基本情况</w:t>
      </w:r>
    </w:p>
    <w:p>
      <w:pPr>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项目基本情况简介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94" w:firstLineChars="200"/>
        <w:jc w:val="left"/>
        <w:textAlignment w:val="auto"/>
        <w:rPr>
          <w:rFonts w:hint="eastAsia" w:ascii="仿宋_GB2312" w:hAnsi="仿宋_GB2312" w:eastAsia="仿宋_GB2312" w:cs="仿宋_GB2312"/>
          <w:sz w:val="32"/>
          <w:szCs w:val="32"/>
          <w:lang w:eastAsia="zh-CN"/>
        </w:rPr>
      </w:pPr>
      <w:bookmarkStart w:id="0" w:name="_Toc30514894"/>
      <w:r>
        <w:rPr>
          <w:rFonts w:hint="eastAsia" w:ascii="仿宋_GB2312" w:hAnsi="仿宋_GB2312" w:eastAsia="仿宋_GB2312" w:cs="仿宋_GB2312"/>
          <w:sz w:val="32"/>
          <w:szCs w:val="32"/>
        </w:rPr>
        <w:t>为加快推进昆明呈贡信息产业园区建设，确保园区招商引资项目顺利落地开工，昆明呈贡信息产业园区管委会和园区土地一级开发实施单位昆明市智慧城市建设投资有限公司积极按照呈贡区人民政府印发的万溪核心区二期二阶段项目用地征地拆迁工作实施方案和补偿实施方案要求全力推进万溪核心区二期二阶段(第一批)土地征收及用地指标报批。为尽快推进省、市、区招商引资重点项目土地供应工作，经呈贡区第四届人民政府第 30次常务会议审议，并报请三届区委常委会第 88 次会议审定，同意为土地一级开发主体昆明市智慧城市建设投资有限公司垫付第十四批次指标报批组件前需缴纳费用约2329.2040 万元。</w:t>
      </w:r>
    </w:p>
    <w:p>
      <w:pPr>
        <w:keepNext/>
        <w:keepLines/>
        <w:pageBreakBefore w:val="0"/>
        <w:widowControl w:val="0"/>
        <w:numPr>
          <w:ilvl w:val="0"/>
          <w:numId w:val="3"/>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395" w:leftChars="133" w:firstLine="594" w:firstLineChars="200"/>
        <w:jc w:val="left"/>
        <w:textAlignment w:val="auto"/>
        <w:rPr>
          <w:rFonts w:hint="eastAsia" w:ascii="仿宋_GB2312" w:hAnsi="仿宋_GB2312" w:cs="仿宋_GB2312"/>
          <w:bCs/>
          <w:szCs w:val="32"/>
        </w:rPr>
      </w:pPr>
      <w:r>
        <w:rPr>
          <w:rFonts w:hint="eastAsia" w:ascii="仿宋_GB2312"/>
          <w:szCs w:val="32"/>
        </w:rPr>
        <w:t>按照要求开展万溪核心区二期二阶段（第一批）第十四批次项目用地指标报批，做好规税费保障工作。</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cs="Times New Roman"/>
          <w:sz w:val="32"/>
          <w:szCs w:val="32"/>
          <w:highlight w:val="none"/>
          <w:lang w:val="en-US" w:eastAsia="zh-CN"/>
        </w:rPr>
        <w:t>园区管委会经济发展部</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94"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绩效评价遵循科学规范、公正公开、分级分类、绩效相关的原则，绩效评价是客观评价，所有用来评价的指标应尽可能量化，所有参与评价的单位和个人都必须遵循客观中立原则，即绩效评价结果，仅取决于项目绩效的客观实际，而不取决于评价人的价值判断和个人意愿。评价结果应尽量不因评价人价值观念的不一致而有所不同。本项目遵循的主要原则有：科学公正、统筹兼顾、激励约束、公开透明。根据《项目支出绩效评价管理办法》（财预〔2020〕10号）和相关要求，结合本项目特点和绩效目标，分两个步骤确定评价指标体系，第一根据项目支出绩效评价共性指标体系和项目实际情况确定基本指标体系，第二制定评分标准。</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采用核查法核查20</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spacing w:line="560" w:lineRule="exact"/>
        <w:ind w:firstLine="594" w:firstLineChars="200"/>
        <w:rPr>
          <w:rFonts w:hint="eastAsia" w:ascii="仿宋_GB2312"/>
          <w:szCs w:val="32"/>
          <w:highlight w:val="none"/>
        </w:rPr>
      </w:pPr>
      <w:r>
        <w:rPr>
          <w:rFonts w:ascii="仿宋_GB2312"/>
          <w:szCs w:val="32"/>
          <w:highlight w:val="none"/>
        </w:rPr>
        <w:t>1.</w:t>
      </w:r>
      <w:r>
        <w:rPr>
          <w:rFonts w:hint="eastAsia" w:ascii="仿宋_GB2312"/>
          <w:szCs w:val="32"/>
          <w:highlight w:val="none"/>
        </w:rPr>
        <w:t>项目资金到位情况分析。</w:t>
      </w:r>
    </w:p>
    <w:p>
      <w:pPr>
        <w:ind w:firstLine="594"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我单位已足额拨付了该项目资金</w:t>
      </w:r>
      <w:r>
        <w:rPr>
          <w:rFonts w:hint="eastAsia" w:ascii="仿宋_GB2312" w:hAnsi="仿宋_GB2312" w:eastAsia="仿宋_GB2312" w:cs="仿宋_GB2312"/>
          <w:sz w:val="32"/>
          <w:szCs w:val="32"/>
        </w:rPr>
        <w:t>2329.2040</w:t>
      </w:r>
      <w:r>
        <w:rPr>
          <w:rFonts w:hint="eastAsia" w:ascii="Times New Roman" w:hAnsi="Times New Roman" w:cs="Times New Roman"/>
          <w:sz w:val="32"/>
          <w:szCs w:val="32"/>
          <w:highlight w:val="none"/>
          <w:lang w:val="en-US" w:eastAsia="zh-CN"/>
        </w:rPr>
        <w:t>万</w:t>
      </w:r>
      <w:r>
        <w:rPr>
          <w:rFonts w:hint="default" w:ascii="Times New Roman" w:hAnsi="Times New Roman" w:eastAsia="仿宋_GB2312" w:cs="Times New Roman"/>
          <w:sz w:val="32"/>
          <w:szCs w:val="32"/>
          <w:highlight w:val="none"/>
          <w:lang w:val="en-US" w:eastAsia="zh-CN"/>
        </w:rPr>
        <w:t>元，无滞留、挤占、挪用等违法乱纪情况，资金到位率100%。</w:t>
      </w:r>
    </w:p>
    <w:p>
      <w:pPr>
        <w:ind w:firstLine="594" w:firstLineChars="200"/>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项目资金使用情况分析。</w:t>
      </w:r>
    </w:p>
    <w:p>
      <w:pPr>
        <w:topLinePunct/>
        <w:ind w:firstLine="594" w:firstLineChars="200"/>
        <w:rPr>
          <w:rFonts w:ascii="仿宋_GB2312" w:hAnsi="仿宋_GB2312" w:cs="仿宋_GB2312"/>
          <w:szCs w:val="32"/>
        </w:rPr>
      </w:pPr>
      <w:r>
        <w:rPr>
          <w:rFonts w:hint="eastAsia" w:ascii="仿宋_GB2312"/>
          <w:szCs w:val="32"/>
        </w:rPr>
        <w:t>2</w:t>
      </w:r>
      <w:r>
        <w:rPr>
          <w:rFonts w:ascii="仿宋_GB2312"/>
          <w:szCs w:val="32"/>
        </w:rPr>
        <w:t>022</w:t>
      </w:r>
      <w:r>
        <w:rPr>
          <w:rFonts w:hint="eastAsia" w:ascii="仿宋_GB2312"/>
          <w:szCs w:val="32"/>
        </w:rPr>
        <w:t>年</w:t>
      </w:r>
      <w:r>
        <w:rPr>
          <w:rFonts w:ascii="仿宋_GB2312"/>
          <w:szCs w:val="32"/>
        </w:rPr>
        <w:t>11</w:t>
      </w:r>
      <w:r>
        <w:rPr>
          <w:rFonts w:hint="eastAsia" w:ascii="仿宋_GB2312"/>
          <w:szCs w:val="32"/>
        </w:rPr>
        <w:t>月已完成万溪核心区二期二阶段（第一批）第十四批次项目用地指标报批</w:t>
      </w:r>
      <w:r>
        <w:rPr>
          <w:rFonts w:hint="eastAsia"/>
        </w:rPr>
        <w:t>耕地占补平衡费缴纳工作</w:t>
      </w:r>
      <w:r>
        <w:rPr>
          <w:rFonts w:hint="eastAsia" w:ascii="仿宋_GB2312"/>
          <w:szCs w:val="32"/>
        </w:rPr>
        <w:t>约1</w:t>
      </w:r>
      <w:r>
        <w:rPr>
          <w:rFonts w:ascii="仿宋_GB2312"/>
          <w:szCs w:val="32"/>
        </w:rPr>
        <w:t>830.07</w:t>
      </w:r>
      <w:r>
        <w:rPr>
          <w:rFonts w:hint="eastAsia" w:ascii="仿宋_GB2312"/>
          <w:szCs w:val="32"/>
        </w:rPr>
        <w:t>万元，结余4</w:t>
      </w:r>
      <w:r>
        <w:rPr>
          <w:rFonts w:ascii="仿宋_GB2312"/>
          <w:szCs w:val="32"/>
        </w:rPr>
        <w:t>99.134</w:t>
      </w:r>
      <w:r>
        <w:rPr>
          <w:rFonts w:hint="eastAsia" w:ascii="仿宋_GB2312"/>
          <w:szCs w:val="32"/>
        </w:rPr>
        <w:t>万元。</w:t>
      </w:r>
      <w:r>
        <w:rPr>
          <w:rFonts w:hint="eastAsia" w:ascii="仿宋_GB2312" w:hAnsi="仿宋_GB2312" w:cs="仿宋_GB2312"/>
          <w:szCs w:val="32"/>
        </w:rPr>
        <w:t>为确保园区后续招商引资企业项目顺利落地开工，2</w:t>
      </w:r>
      <w:r>
        <w:rPr>
          <w:rFonts w:ascii="仿宋_GB2312" w:hAnsi="仿宋_GB2312" w:cs="仿宋_GB2312"/>
          <w:szCs w:val="32"/>
        </w:rPr>
        <w:t>022</w:t>
      </w:r>
      <w:r>
        <w:rPr>
          <w:rFonts w:hint="eastAsia" w:ascii="仿宋_GB2312" w:hAnsi="仿宋_GB2312" w:cs="仿宋_GB2312"/>
          <w:szCs w:val="32"/>
        </w:rPr>
        <w:t>年1</w:t>
      </w:r>
      <w:r>
        <w:rPr>
          <w:rFonts w:ascii="仿宋_GB2312" w:hAnsi="仿宋_GB2312" w:cs="仿宋_GB2312"/>
          <w:szCs w:val="32"/>
        </w:rPr>
        <w:t>2</w:t>
      </w:r>
      <w:r>
        <w:rPr>
          <w:rFonts w:hint="eastAsia" w:ascii="仿宋_GB2312" w:hAnsi="仿宋_GB2312" w:cs="仿宋_GB2312"/>
          <w:szCs w:val="32"/>
        </w:rPr>
        <w:t>月</w:t>
      </w:r>
      <w:r>
        <w:rPr>
          <w:rFonts w:hint="eastAsia" w:ascii="仿宋_GB2312" w:hAnsi="仿宋_GB2312" w:cs="仿宋_GB2312"/>
          <w:szCs w:val="32"/>
          <w:lang w:val="en-US" w:eastAsia="zh-CN"/>
        </w:rPr>
        <w:t>园区管委会</w:t>
      </w:r>
      <w:r>
        <w:rPr>
          <w:rFonts w:hint="eastAsia" w:ascii="仿宋_GB2312" w:hAnsi="仿宋_GB2312" w:cs="仿宋_GB2312"/>
          <w:szCs w:val="32"/>
        </w:rPr>
        <w:t>2022年第 21 次主任办公会议审议通过，同意将呈贡区政府保障的 2,329.204万元资金中剩余的 499.134 万元拨至昆明智投公司用于缴纳第十四批次后续规税等费用。</w:t>
      </w:r>
    </w:p>
    <w:p>
      <w:pPr>
        <w:spacing w:line="560" w:lineRule="exact"/>
        <w:ind w:firstLine="594" w:firstLineChars="200"/>
        <w:rPr>
          <w:rFonts w:ascii="仿宋_GB2312"/>
          <w:szCs w:val="32"/>
          <w:highlight w:val="none"/>
        </w:rPr>
      </w:pPr>
      <w:r>
        <w:rPr>
          <w:rFonts w:ascii="仿宋_GB2312"/>
          <w:szCs w:val="32"/>
          <w:highlight w:val="none"/>
        </w:rPr>
        <w:t>3.</w:t>
      </w:r>
      <w:r>
        <w:rPr>
          <w:rFonts w:hint="eastAsia" w:ascii="仿宋_GB2312"/>
          <w:szCs w:val="32"/>
          <w:highlight w:val="none"/>
        </w:rPr>
        <w:t>项目资金管理情况分析。</w:t>
      </w:r>
    </w:p>
    <w:p>
      <w:pPr>
        <w:spacing w:line="560" w:lineRule="exact"/>
        <w:ind w:firstLine="446" w:firstLineChars="150"/>
        <w:rPr>
          <w:rFonts w:hint="eastAsia" w:ascii="仿宋_GB2312" w:eastAsia="仿宋_GB2312"/>
          <w:szCs w:val="32"/>
          <w:highlight w:val="none"/>
          <w:lang w:eastAsia="zh-CN"/>
        </w:rPr>
      </w:pPr>
      <w:r>
        <w:rPr>
          <w:rFonts w:hint="eastAsia" w:eastAsia="仿宋_GB2312"/>
          <w:sz w:val="32"/>
          <w:szCs w:val="32"/>
        </w:rPr>
        <w:t>按照相关规定</w:t>
      </w:r>
      <w:r>
        <w:rPr>
          <w:rFonts w:hint="eastAsia"/>
          <w:sz w:val="32"/>
          <w:szCs w:val="32"/>
          <w:lang w:eastAsia="zh-CN"/>
        </w:rPr>
        <w:t>，</w:t>
      </w:r>
      <w:r>
        <w:rPr>
          <w:rFonts w:hint="eastAsia" w:eastAsia="仿宋_GB2312"/>
          <w:sz w:val="32"/>
          <w:szCs w:val="32"/>
        </w:rPr>
        <w:t>项目资金支付程序完整，资金专款专用，不存在挪作他用的情</w:t>
      </w:r>
      <w:r>
        <w:rPr>
          <w:rFonts w:hint="eastAsia"/>
          <w:sz w:val="32"/>
          <w:szCs w:val="32"/>
          <w:lang w:eastAsia="zh-CN"/>
        </w:rPr>
        <w:t>况。</w:t>
      </w:r>
      <w:r>
        <w:rPr>
          <w:rFonts w:hint="eastAsia" w:eastAsia="仿宋_GB2312"/>
          <w:sz w:val="32"/>
          <w:szCs w:val="32"/>
        </w:rPr>
        <w:t>项目档案资料有专人负责管理，档案资料完整、齐全</w:t>
      </w:r>
      <w:r>
        <w:rPr>
          <w:rFonts w:hint="eastAsia"/>
          <w:sz w:val="32"/>
          <w:szCs w:val="32"/>
          <w:lang w:eastAsia="zh-CN"/>
        </w:rPr>
        <w:t>。</w:t>
      </w:r>
    </w:p>
    <w:p>
      <w:pPr>
        <w:ind w:firstLine="594" w:firstLineChars="200"/>
        <w:outlineLvl w:val="0"/>
        <w:rPr>
          <w:rFonts w:hint="eastAsia" w:ascii="仿宋_GB2312"/>
          <w:szCs w:val="32"/>
        </w:rPr>
      </w:pPr>
      <w:r>
        <w:rPr>
          <w:rFonts w:hint="eastAsia" w:ascii="仿宋_GB2312"/>
          <w:szCs w:val="32"/>
        </w:rPr>
        <w:t>（二）项目实施情况分析。</w:t>
      </w:r>
    </w:p>
    <w:p>
      <w:pPr>
        <w:topLinePunct/>
        <w:ind w:firstLine="594" w:firstLineChars="200"/>
        <w:rPr>
          <w:szCs w:val="32"/>
        </w:rPr>
      </w:pPr>
      <w:r>
        <w:rPr>
          <w:rFonts w:hint="eastAsia" w:ascii="仿宋_GB2312" w:hAnsi="仿宋_GB2312" w:cs="仿宋_GB2312"/>
          <w:szCs w:val="32"/>
        </w:rPr>
        <w:t>目前同意为土地一级开发主体垫付万溪核心区二期二阶段（第一批）第十四批次项目用地指标报批相关规税费，支出依据合规，无虚列项目支出情况；无截留挤占挪用情况；无超标准开支情况；无超预算情况。</w:t>
      </w:r>
      <w:r>
        <w:rPr>
          <w:szCs w:val="32"/>
        </w:rPr>
        <w:t>该项目在实施过程中，项目单位的组织结构健全、人员分工明确，场地、信息支撑等落实到位。该项目无调整事项，按计划开工，按计划进度开展，按计划完工，也制定和严格执行了相关项目管理制度。</w:t>
      </w:r>
    </w:p>
    <w:p>
      <w:pPr>
        <w:ind w:firstLine="594" w:firstLineChars="200"/>
        <w:outlineLvl w:val="0"/>
        <w:rPr>
          <w:rFonts w:hint="eastAsia" w:ascii="仿宋_GB2312"/>
          <w:szCs w:val="32"/>
        </w:rPr>
      </w:pPr>
      <w:r>
        <w:rPr>
          <w:rFonts w:hint="eastAsia" w:ascii="仿宋_GB2312"/>
          <w:szCs w:val="32"/>
        </w:rPr>
        <w:t>（三）项目绩效情况分析。</w:t>
      </w:r>
    </w:p>
    <w:p>
      <w:pPr>
        <w:topLinePunct/>
        <w:ind w:firstLine="594" w:firstLineChars="200"/>
        <w:rPr>
          <w:rFonts w:ascii="仿宋_GB2312"/>
          <w:szCs w:val="32"/>
        </w:rPr>
      </w:pPr>
      <w:r>
        <w:rPr>
          <w:rFonts w:hint="eastAsia" w:ascii="仿宋_GB2312"/>
          <w:szCs w:val="32"/>
        </w:rPr>
        <w:t>按照要求</w:t>
      </w:r>
      <w:r>
        <w:rPr>
          <w:rFonts w:hint="eastAsia"/>
        </w:rPr>
        <w:t>完成耕地占补平衡费缴纳工作，加快推进</w:t>
      </w:r>
      <w:r>
        <w:rPr>
          <w:rFonts w:hint="eastAsia" w:ascii="仿宋_GB2312"/>
          <w:szCs w:val="32"/>
        </w:rPr>
        <w:t>万溪核心区二期二阶段（第一批）第十四批次项目用地指标报批</w:t>
      </w:r>
      <w:r>
        <w:rPr>
          <w:rFonts w:hint="eastAsia"/>
        </w:rPr>
        <w:t>。</w:t>
      </w:r>
      <w:r>
        <w:rPr>
          <w:rFonts w:hint="eastAsia" w:ascii="仿宋_GB2312"/>
          <w:szCs w:val="32"/>
        </w:rPr>
        <w:t>做好万溪核心区二期二阶段（第一批）第十四批次项目用地指标报批相关规税费保障工作，保证指标报批工作顺利推进，确保重点建设项目顺利落地，为地方经济社会高质量发展提供坚强有力的服务保障，</w:t>
      </w:r>
      <w:r>
        <w:rPr>
          <w:rFonts w:hint="eastAsia" w:ascii="仿宋_GB2312"/>
          <w:szCs w:val="32"/>
          <w:lang w:val="en-US" w:eastAsia="zh-CN"/>
        </w:rPr>
        <w:t>为</w:t>
      </w:r>
      <w:r>
        <w:rPr>
          <w:rFonts w:hint="eastAsia" w:ascii="仿宋_GB2312"/>
          <w:szCs w:val="32"/>
        </w:rPr>
        <w:t>园区建设良好的投资环境营造创造了条件</w:t>
      </w:r>
      <w:r>
        <w:rPr>
          <w:rFonts w:hint="eastAsia" w:ascii="仿宋_GB2312"/>
          <w:szCs w:val="32"/>
          <w:lang w:eastAsia="zh-CN"/>
        </w:rPr>
        <w:t>，</w:t>
      </w:r>
      <w:r>
        <w:rPr>
          <w:rFonts w:hint="eastAsia" w:ascii="仿宋_GB2312"/>
          <w:szCs w:val="32"/>
        </w:rPr>
        <w:t>为园区招商引资工作提供合规性基础保障</w:t>
      </w:r>
      <w:r>
        <w:rPr>
          <w:rFonts w:hint="eastAsia" w:ascii="仿宋_GB2312"/>
          <w:szCs w:val="32"/>
          <w:lang w:eastAsia="zh-CN"/>
        </w:rPr>
        <w:t>，</w:t>
      </w:r>
      <w:r>
        <w:rPr>
          <w:rFonts w:hint="eastAsia" w:ascii="仿宋_GB2312"/>
          <w:szCs w:val="32"/>
        </w:rPr>
        <w:t>为园区可持续发展提供合规性基础保障。</w:t>
      </w:r>
    </w:p>
    <w:p>
      <w:pPr>
        <w:ind w:firstLine="600"/>
      </w:pPr>
    </w:p>
    <w:p>
      <w:pPr>
        <w:pStyle w:val="33"/>
        <w:rPr>
          <w:rFonts w:hint="eastAsia" w:ascii="仿宋_GB2312" w:hAnsi="仿宋_GB2312" w:eastAsia="仿宋_GB2312" w:cs="仿宋_GB2312"/>
          <w:sz w:val="32"/>
          <w:szCs w:val="32"/>
        </w:rPr>
      </w:pPr>
    </w:p>
    <w:p>
      <w:pPr>
        <w:numPr>
          <w:ilvl w:val="0"/>
          <w:numId w:val="0"/>
        </w:numPr>
        <w:ind w:firstLine="594" w:firstLineChars="200"/>
        <w:rPr>
          <w:rFonts w:hint="eastAsia" w:ascii="仿宋_GB2312"/>
          <w:b/>
          <w:szCs w:val="32"/>
        </w:rPr>
      </w:pPr>
      <w:r>
        <w:rPr>
          <w:rFonts w:hint="eastAsia" w:ascii="黑体" w:hAnsi="黑体" w:eastAsia="黑体" w:cs="黑体"/>
          <w:szCs w:val="32"/>
          <w:lang w:eastAsia="zh-CN"/>
        </w:rPr>
        <w:t>五、</w:t>
      </w: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附件3：</w:t>
      </w:r>
    </w:p>
    <w:tbl>
      <w:tblPr>
        <w:tblStyle w:val="16"/>
        <w:tblW w:w="8431"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
        <w:gridCol w:w="431"/>
        <w:gridCol w:w="509"/>
        <w:gridCol w:w="691"/>
        <w:gridCol w:w="17"/>
        <w:gridCol w:w="426"/>
        <w:gridCol w:w="23"/>
        <w:gridCol w:w="1925"/>
        <w:gridCol w:w="6"/>
        <w:gridCol w:w="2161"/>
        <w:gridCol w:w="2150"/>
        <w:gridCol w:w="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6" w:type="dxa"/>
          <w:wAfter w:w="76" w:type="dxa"/>
          <w:trHeight w:val="499" w:hRule="atLeast"/>
          <w:tblHeader/>
        </w:trPr>
        <w:tc>
          <w:tcPr>
            <w:tcW w:w="8339" w:type="dxa"/>
            <w:gridSpan w:val="10"/>
            <w:tcBorders>
              <w:top w:val="nil"/>
              <w:left w:val="nil"/>
              <w:right w:val="nil"/>
            </w:tcBorders>
            <w:vAlign w:val="center"/>
          </w:tcPr>
          <w:p>
            <w:pPr>
              <w:widowControl/>
              <w:spacing w:before="223" w:beforeLines="50" w:after="223" w:afterLines="50"/>
              <w:jc w:val="center"/>
              <w:rPr>
                <w:rFonts w:ascii="黑体" w:hAnsi="宋体" w:eastAsia="黑体" w:cs="宋体"/>
                <w:color w:val="auto"/>
                <w:kern w:val="0"/>
                <w:sz w:val="36"/>
                <w:szCs w:val="36"/>
              </w:rPr>
            </w:pPr>
            <w:r>
              <w:rPr>
                <w:rFonts w:hint="eastAsia" w:ascii="黑体" w:hAnsi="宋体" w:eastAsia="黑体" w:cs="宋体"/>
                <w:color w:val="auto"/>
                <w:kern w:val="0"/>
                <w:sz w:val="36"/>
                <w:szCs w:val="36"/>
              </w:rPr>
              <w:t>项目支出绩效自评指标评分表</w:t>
            </w:r>
          </w:p>
          <w:p>
            <w:pPr>
              <w:widowControl/>
              <w:spacing w:line="260" w:lineRule="exact"/>
              <w:jc w:val="center"/>
              <w:rPr>
                <w:rFonts w:ascii="仿宋_GB2312" w:hAnsi="宋体" w:cs="宋体"/>
                <w:b/>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6" w:type="dxa"/>
          <w:wAfter w:w="76" w:type="dxa"/>
          <w:trHeight w:val="907" w:hRule="atLeast"/>
          <w:tblHeader/>
        </w:trPr>
        <w:tc>
          <w:tcPr>
            <w:tcW w:w="431"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一级指标</w:t>
            </w:r>
          </w:p>
        </w:tc>
        <w:tc>
          <w:tcPr>
            <w:tcW w:w="509"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二级指标</w:t>
            </w:r>
          </w:p>
        </w:tc>
        <w:tc>
          <w:tcPr>
            <w:tcW w:w="708" w:type="dxa"/>
            <w:gridSpan w:val="2"/>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三级</w:t>
            </w:r>
          </w:p>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指标</w:t>
            </w:r>
          </w:p>
        </w:tc>
        <w:tc>
          <w:tcPr>
            <w:tcW w:w="449" w:type="dxa"/>
            <w:gridSpan w:val="2"/>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自评分</w:t>
            </w:r>
          </w:p>
        </w:tc>
        <w:tc>
          <w:tcPr>
            <w:tcW w:w="1925"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具体指标</w:t>
            </w:r>
          </w:p>
        </w:tc>
        <w:tc>
          <w:tcPr>
            <w:tcW w:w="2167" w:type="dxa"/>
            <w:gridSpan w:val="2"/>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具体指标说明</w:t>
            </w:r>
          </w:p>
        </w:tc>
        <w:tc>
          <w:tcPr>
            <w:tcW w:w="2150"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907" w:hRule="atLeast"/>
        </w:trPr>
        <w:tc>
          <w:tcPr>
            <w:tcW w:w="431"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r>
              <w:rPr>
                <w:rFonts w:ascii="仿宋_GB2312" w:hAnsi="宋体" w:cs="宋体"/>
                <w:color w:val="auto"/>
                <w:kern w:val="0"/>
                <w:sz w:val="21"/>
                <w:szCs w:val="21"/>
              </w:rPr>
              <w:t>20</w:t>
            </w:r>
            <w:r>
              <w:rPr>
                <w:rFonts w:hint="eastAsia" w:ascii="仿宋_GB2312" w:hAnsi="宋体" w:cs="宋体"/>
                <w:color w:val="auto"/>
                <w:kern w:val="0"/>
                <w:sz w:val="21"/>
                <w:szCs w:val="21"/>
              </w:rPr>
              <w:t>分）</w:t>
            </w:r>
          </w:p>
        </w:tc>
        <w:tc>
          <w:tcPr>
            <w:tcW w:w="509"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w:t>
            </w:r>
          </w:p>
          <w:p>
            <w:pPr>
              <w:widowControl/>
              <w:spacing w:line="260" w:lineRule="exact"/>
              <w:jc w:val="center"/>
              <w:rPr>
                <w:rFonts w:ascii="仿宋_GB2312" w:hAnsi="宋体" w:cs="宋体"/>
                <w:color w:val="auto"/>
                <w:kern w:val="0"/>
                <w:sz w:val="21"/>
                <w:szCs w:val="21"/>
              </w:rPr>
            </w:pPr>
            <w:r>
              <w:rPr>
                <w:rFonts w:ascii="仿宋_GB2312" w:hAnsi="宋体" w:cs="宋体"/>
                <w:color w:val="auto"/>
                <w:kern w:val="0"/>
                <w:sz w:val="21"/>
                <w:szCs w:val="21"/>
              </w:rPr>
              <w:t>(4</w:t>
            </w:r>
            <w:r>
              <w:rPr>
                <w:rFonts w:hint="eastAsia" w:ascii="仿宋_GB2312" w:hAnsi="宋体" w:cs="宋体"/>
                <w:color w:val="auto"/>
                <w:kern w:val="0"/>
                <w:sz w:val="21"/>
                <w:szCs w:val="21"/>
              </w:rPr>
              <w:t>分</w:t>
            </w:r>
            <w:r>
              <w:rPr>
                <w:rFonts w:ascii="仿宋_GB2312" w:hAnsi="宋体" w:cs="宋体"/>
                <w:color w:val="auto"/>
                <w:kern w:val="0"/>
                <w:sz w:val="21"/>
                <w:szCs w:val="21"/>
              </w:rPr>
              <w:t>)</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目标内容（</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w:t>
            </w:r>
          </w:p>
        </w:tc>
        <w:tc>
          <w:tcPr>
            <w:tcW w:w="1925" w:type="dxa"/>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1.设有明确的产出指标、效益指标及满意度指标；</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rPr>
              <w:t>2.目标明确细化：产出指标细化了数量指标、质量指标、时效指标，效益指标细化为经济效益指标、可持续影响指标，满意度指标细化为服务对象满意度指标。</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rPr>
              <w:t>3.目标量化。</w:t>
            </w:r>
          </w:p>
        </w:tc>
        <w:tc>
          <w:tcPr>
            <w:tcW w:w="2167" w:type="dxa"/>
            <w:gridSpan w:val="2"/>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设立了项目绩效目标；目标明确；目标细化；目标量化</w:t>
            </w:r>
          </w:p>
        </w:tc>
        <w:tc>
          <w:tcPr>
            <w:tcW w:w="2150" w:type="dxa"/>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设有目标（</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目标明确（</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目标细化（</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目标量化（</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76" w:type="dxa"/>
            <w:vAlign w:val="center"/>
          </w:tcPr>
          <w:p>
            <w:pPr>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907"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过程</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决策依据（</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w:t>
            </w:r>
          </w:p>
        </w:tc>
        <w:tc>
          <w:tcPr>
            <w:tcW w:w="1925" w:type="dxa"/>
            <w:vAlign w:val="center"/>
          </w:tcPr>
          <w:p>
            <w:pPr>
              <w:widowControl/>
              <w:numPr>
                <w:ilvl w:val="0"/>
                <w:numId w:val="5"/>
              </w:num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项目符合法律法规；</w:t>
            </w:r>
          </w:p>
          <w:p>
            <w:pPr>
              <w:widowControl/>
              <w:numPr>
                <w:ilvl w:val="0"/>
                <w:numId w:val="5"/>
              </w:num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项目属于公益性基础设施项目符合经济社会发展规划、符合园区控制性详细规划；</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rPr>
              <w:t>3、项目按照呈贡区政府及区行政主管部门要求，开展万溪核心区二期二阶段（第一批）第十四批次项目用地指标报批工作；</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4、按照要求开展万溪核心区二期二阶段（第一批）第十四批次项目用地指标报批，做好规税费保障工作。</w:t>
            </w:r>
          </w:p>
        </w:tc>
        <w:tc>
          <w:tcPr>
            <w:tcW w:w="2167"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有关法律法规的明确规定；某一经济社会发展规划；某部门年度工作计划；某一实际问题和需求</w:t>
            </w:r>
          </w:p>
        </w:tc>
        <w:tc>
          <w:tcPr>
            <w:tcW w:w="2150"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符合法律法规（</w:t>
            </w:r>
            <w:r>
              <w:rPr>
                <w:rFonts w:ascii="仿宋_GB2312" w:hAnsi="宋体" w:cs="宋体"/>
                <w:color w:val="auto"/>
                <w:kern w:val="0"/>
                <w:sz w:val="21"/>
                <w:szCs w:val="21"/>
              </w:rPr>
              <w:t>1</w:t>
            </w:r>
            <w:r>
              <w:rPr>
                <w:rFonts w:hint="eastAsia" w:ascii="仿宋_GB2312" w:hAnsi="宋体" w:cs="宋体"/>
                <w:color w:val="auto"/>
                <w:kern w:val="0"/>
                <w:sz w:val="21"/>
                <w:szCs w:val="21"/>
              </w:rPr>
              <w:t>分）符合经济社会发展规划（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部门年度工作计划（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针对某一实际问题和需求（</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76"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37"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决策程序（</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w:t>
            </w:r>
          </w:p>
        </w:tc>
        <w:tc>
          <w:tcPr>
            <w:tcW w:w="192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1.项目符合申报条件；</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rPr>
              <w:t>2.申报、批复程序符合相关管理办法；</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rPr>
              <w:t>3.项目调整履行了相应手续</w:t>
            </w:r>
          </w:p>
        </w:tc>
        <w:tc>
          <w:tcPr>
            <w:tcW w:w="2167"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项目符合申报条件；申报、批复程序符合相关管理办法；项目调整履行了相应手续</w:t>
            </w:r>
          </w:p>
        </w:tc>
        <w:tc>
          <w:tcPr>
            <w:tcW w:w="2150"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符合申报条件（</w:t>
            </w:r>
            <w:r>
              <w:rPr>
                <w:rFonts w:ascii="仿宋_GB2312" w:hAnsi="宋体" w:cs="宋体"/>
                <w:color w:val="auto"/>
                <w:kern w:val="0"/>
                <w:sz w:val="21"/>
                <w:szCs w:val="21"/>
              </w:rPr>
              <w:t>2</w:t>
            </w:r>
            <w:r>
              <w:rPr>
                <w:rFonts w:hint="eastAsia" w:ascii="仿宋_GB2312" w:hAnsi="宋体" w:cs="宋体"/>
                <w:color w:val="auto"/>
                <w:kern w:val="0"/>
                <w:sz w:val="21"/>
                <w:szCs w:val="21"/>
              </w:rPr>
              <w:t>分）项目申报、批复程序符合管理办法（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项目调整履行了相应手续（</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76"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907"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分配办法（</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w:t>
            </w:r>
          </w:p>
        </w:tc>
        <w:tc>
          <w:tcPr>
            <w:tcW w:w="1925" w:type="dxa"/>
            <w:vAlign w:val="center"/>
          </w:tcPr>
          <w:p>
            <w:pPr>
              <w:widowControl/>
              <w:numPr>
                <w:ilvl w:val="0"/>
                <w:numId w:val="6"/>
              </w:num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有相应的资金管理办法；</w:t>
            </w:r>
          </w:p>
          <w:p>
            <w:pPr>
              <w:widowControl/>
              <w:numPr>
                <w:ilvl w:val="0"/>
                <w:numId w:val="6"/>
              </w:num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项目资金管理办法健全、规范；</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3、项目资金分配因素全面合理；</w:t>
            </w:r>
          </w:p>
        </w:tc>
        <w:tc>
          <w:tcPr>
            <w:tcW w:w="2167"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根据需要制定的相关资金管理办法；管理办法中有明确资金分配办法；资金分配因素全面、合理</w:t>
            </w:r>
          </w:p>
        </w:tc>
        <w:tc>
          <w:tcPr>
            <w:tcW w:w="2150"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有相应的资金管理办法（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办法健全、规范（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因素全面合理（</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76"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907"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分配结果（</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5</w:t>
            </w:r>
          </w:p>
        </w:tc>
        <w:tc>
          <w:tcPr>
            <w:tcW w:w="192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资金分配符合相关管理办法；分配结果按照项目前期相关成果及合同公平合理</w:t>
            </w:r>
          </w:p>
        </w:tc>
        <w:tc>
          <w:tcPr>
            <w:tcW w:w="2167"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资金分配符合相关管理办法；分配结果公平合理</w:t>
            </w:r>
          </w:p>
        </w:tc>
        <w:tc>
          <w:tcPr>
            <w:tcW w:w="2150"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符合分配办法（</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分配公平合理（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76"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747" w:hRule="atLeast"/>
        </w:trPr>
        <w:tc>
          <w:tcPr>
            <w:tcW w:w="431"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w:t>
            </w:r>
            <w:r>
              <w:rPr>
                <w:rFonts w:hint="eastAsia" w:ascii="仿宋_GB2312" w:hAnsi="宋体" w:cs="宋体"/>
                <w:color w:val="auto"/>
                <w:kern w:val="0"/>
                <w:sz w:val="21"/>
                <w:szCs w:val="21"/>
              </w:rPr>
              <w:t>0分）</w:t>
            </w:r>
          </w:p>
        </w:tc>
        <w:tc>
          <w:tcPr>
            <w:tcW w:w="509"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（4分）</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192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现阶段项目资金实际到位率100%</w:t>
            </w:r>
          </w:p>
        </w:tc>
        <w:tc>
          <w:tcPr>
            <w:tcW w:w="2167"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实际到位</w:t>
            </w:r>
            <w:r>
              <w:rPr>
                <w:rFonts w:ascii="仿宋_GB2312" w:hAnsi="宋体" w:cs="宋体"/>
                <w:color w:val="auto"/>
                <w:kern w:val="0"/>
                <w:sz w:val="21"/>
                <w:szCs w:val="21"/>
              </w:rPr>
              <w:t>/</w:t>
            </w:r>
            <w:r>
              <w:rPr>
                <w:rFonts w:hint="eastAsia" w:ascii="仿宋_GB2312" w:hAnsi="宋体" w:cs="宋体"/>
                <w:color w:val="auto"/>
                <w:kern w:val="0"/>
                <w:sz w:val="21"/>
                <w:szCs w:val="21"/>
              </w:rPr>
              <w:t>计划到位</w:t>
            </w:r>
            <w:r>
              <w:rPr>
                <w:rFonts w:ascii="仿宋_GB2312" w:hAnsi="宋体" w:cs="宋体"/>
                <w:color w:val="auto"/>
                <w:kern w:val="0"/>
                <w:sz w:val="21"/>
                <w:szCs w:val="21"/>
              </w:rPr>
              <w:t>*100%</w:t>
            </w:r>
          </w:p>
        </w:tc>
        <w:tc>
          <w:tcPr>
            <w:tcW w:w="2150"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根据项目资金的实际到位率计算得分</w:t>
            </w:r>
          </w:p>
        </w:tc>
        <w:tc>
          <w:tcPr>
            <w:tcW w:w="76"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1463"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到位时效（</w:t>
            </w:r>
            <w:r>
              <w:rPr>
                <w:rFonts w:ascii="仿宋_GB2312" w:hAnsi="宋体" w:cs="宋体"/>
                <w:color w:val="auto"/>
                <w:kern w:val="0"/>
                <w:sz w:val="21"/>
                <w:szCs w:val="21"/>
              </w:rPr>
              <w:t>2</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192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项目资金及时到位并未影响项目进度</w:t>
            </w:r>
          </w:p>
        </w:tc>
        <w:tc>
          <w:tcPr>
            <w:tcW w:w="2167"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资金及时到位；若未及时到位，是否影响项目进度</w:t>
            </w:r>
          </w:p>
        </w:tc>
        <w:tc>
          <w:tcPr>
            <w:tcW w:w="2150"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到位及时（</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不及时但未影响项目进度</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不及时并影响项目进度（</w:t>
            </w:r>
            <w:r>
              <w:rPr>
                <w:rFonts w:ascii="仿宋_GB2312" w:hAnsi="宋体" w:cs="宋体"/>
                <w:color w:val="auto"/>
                <w:kern w:val="0"/>
                <w:sz w:val="21"/>
                <w:szCs w:val="21"/>
              </w:rPr>
              <w:t>0.5</w:t>
            </w:r>
            <w:r>
              <w:rPr>
                <w:rFonts w:hint="eastAsia" w:ascii="仿宋_GB2312" w:hAnsi="宋体" w:cs="宋体"/>
                <w:color w:val="auto"/>
                <w:kern w:val="0"/>
                <w:sz w:val="21"/>
                <w:szCs w:val="21"/>
              </w:rPr>
              <w:t>分）</w:t>
            </w:r>
          </w:p>
        </w:tc>
        <w:tc>
          <w:tcPr>
            <w:tcW w:w="76"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907"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w:t>
            </w:r>
            <w:r>
              <w:rPr>
                <w:rFonts w:hint="eastAsia" w:ascii="仿宋_GB2312" w:hAnsi="宋体" w:cs="宋体"/>
                <w:color w:val="auto"/>
                <w:kern w:val="0"/>
                <w:sz w:val="21"/>
                <w:szCs w:val="21"/>
              </w:rPr>
              <w:t>6分）</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资金使用（3分）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ascii="仿宋_GB2312" w:hAnsi="宋体" w:cs="宋体"/>
                <w:color w:val="auto"/>
                <w:kern w:val="0"/>
                <w:sz w:val="21"/>
                <w:szCs w:val="21"/>
              </w:rPr>
              <w:t>2</w:t>
            </w:r>
          </w:p>
        </w:tc>
        <w:tc>
          <w:tcPr>
            <w:tcW w:w="192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目前同意为土地一级开发主体垫付万溪核心区二期二阶段（第一批）第十四批次项目用地指标报批相关规税费，支出依据合规，无虚列项目支出情况；无截留挤占挪用情况；无超标准开支情况；无超预算情况。</w:t>
            </w:r>
          </w:p>
        </w:tc>
        <w:tc>
          <w:tcPr>
            <w:tcW w:w="2167"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支出依据合规，无虚列项目支出情况；无截留挤占挪用情况；无超标准开支情况；无超预算情况</w:t>
            </w:r>
          </w:p>
        </w:tc>
        <w:tc>
          <w:tcPr>
            <w:tcW w:w="2150"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虚列套取扣3分</w:t>
            </w:r>
            <w:r>
              <w:rPr>
                <w:rFonts w:ascii="仿宋_GB2312" w:hAnsi="宋体" w:cs="宋体"/>
                <w:color w:val="auto"/>
                <w:kern w:val="0"/>
                <w:sz w:val="21"/>
                <w:szCs w:val="21"/>
              </w:rPr>
              <w:t xml:space="preserve"> </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依据不合规扣</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截留、挤占、挪用</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扣3分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超标准开支扣2分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超预算扣2分</w:t>
            </w:r>
          </w:p>
        </w:tc>
        <w:tc>
          <w:tcPr>
            <w:tcW w:w="76"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907"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财务管理（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财务制度健全（</w:t>
            </w:r>
            <w:r>
              <w:rPr>
                <w:rFonts w:ascii="仿宋_GB2312" w:hAnsi="宋体" w:cs="宋体"/>
                <w:color w:val="auto"/>
                <w:kern w:val="0"/>
                <w:sz w:val="21"/>
                <w:szCs w:val="21"/>
              </w:rPr>
              <w:t>1</w:t>
            </w:r>
            <w:r>
              <w:rPr>
                <w:rFonts w:hint="eastAsia" w:ascii="仿宋_GB2312" w:hAnsi="宋体" w:cs="宋体"/>
                <w:color w:val="auto"/>
                <w:kern w:val="0"/>
                <w:sz w:val="21"/>
                <w:szCs w:val="21"/>
              </w:rPr>
              <w:t>分）严格执行制度（</w:t>
            </w:r>
            <w:r>
              <w:rPr>
                <w:rFonts w:ascii="仿宋_GB2312" w:hAnsi="宋体" w:cs="宋体"/>
                <w:color w:val="auto"/>
                <w:kern w:val="0"/>
                <w:sz w:val="21"/>
                <w:szCs w:val="21"/>
              </w:rPr>
              <w:t>1</w:t>
            </w:r>
            <w:r>
              <w:rPr>
                <w:rFonts w:hint="eastAsia" w:ascii="仿宋_GB2312" w:hAnsi="宋体" w:cs="宋体"/>
                <w:color w:val="auto"/>
                <w:kern w:val="0"/>
                <w:sz w:val="21"/>
                <w:szCs w:val="21"/>
              </w:rPr>
              <w:t>分）会计核算规范（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907"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组织机构（</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项目建设机构健全、分工明确</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机构健全、分工明确</w:t>
            </w:r>
          </w:p>
        </w:tc>
        <w:tc>
          <w:tcPr>
            <w:tcW w:w="2226" w:type="dxa"/>
            <w:gridSpan w:val="2"/>
            <w:vAlign w:val="center"/>
          </w:tcPr>
          <w:p>
            <w:pPr>
              <w:widowControl/>
              <w:spacing w:line="260" w:lineRule="exact"/>
              <w:ind w:left="210" w:hanging="187" w:hangingChars="100"/>
              <w:jc w:val="left"/>
              <w:rPr>
                <w:rFonts w:ascii="仿宋_GB2312" w:hAnsi="宋体" w:cs="宋体"/>
                <w:color w:val="auto"/>
                <w:kern w:val="0"/>
                <w:sz w:val="21"/>
                <w:szCs w:val="21"/>
              </w:rPr>
            </w:pPr>
            <w:r>
              <w:rPr>
                <w:rFonts w:hint="eastAsia" w:ascii="仿宋_GB2312" w:hAnsi="宋体" w:cs="宋体"/>
                <w:color w:val="auto"/>
                <w:kern w:val="0"/>
                <w:sz w:val="21"/>
                <w:szCs w:val="21"/>
              </w:rPr>
              <w:t>机构健全、分工明确</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(25</w:t>
            </w:r>
            <w:r>
              <w:rPr>
                <w:rFonts w:hint="eastAsia" w:ascii="仿宋_GB2312" w:hAnsi="宋体" w:cs="宋体"/>
                <w:color w:val="auto"/>
                <w:kern w:val="0"/>
                <w:sz w:val="21"/>
                <w:szCs w:val="21"/>
              </w:rPr>
              <w:t>分）</w:t>
            </w:r>
          </w:p>
        </w:tc>
        <w:tc>
          <w:tcPr>
            <w:tcW w:w="509"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项目实施（</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项目按照计划开展万溪核心区二期二阶段（第一批）第十四批次项目用地指标报批相关规税费缴纳工作。</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项目按计划开工；按计划进度开展；按计划完工</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按计划开工（</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按计划开展（</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按计划完工（</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管理制度（</w:t>
            </w:r>
            <w:r>
              <w:rPr>
                <w:rFonts w:ascii="仿宋_GB2312" w:hAnsi="宋体" w:cs="宋体"/>
                <w:color w:val="auto"/>
                <w:kern w:val="0"/>
                <w:sz w:val="21"/>
                <w:szCs w:val="21"/>
              </w:rPr>
              <w:t>6</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6</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管理制度健全（</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制度执行严格（</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xml:space="preserve">绩效 </w:t>
            </w:r>
            <w:r>
              <w:rPr>
                <w:rFonts w:ascii="仿宋_GB2312" w:hAnsi="宋体" w:cs="宋体"/>
                <w:color w:val="auto"/>
                <w:kern w:val="0"/>
                <w:sz w:val="21"/>
                <w:szCs w:val="21"/>
              </w:rPr>
              <w:t>(</w:t>
            </w:r>
            <w:r>
              <w:rPr>
                <w:rFonts w:hint="eastAsia" w:ascii="仿宋_GB2312" w:hAnsi="宋体" w:cs="宋体"/>
                <w:color w:val="auto"/>
                <w:kern w:val="0"/>
                <w:sz w:val="21"/>
                <w:szCs w:val="21"/>
              </w:rPr>
              <w:t>60分）</w:t>
            </w:r>
          </w:p>
        </w:tc>
        <w:tc>
          <w:tcPr>
            <w:tcW w:w="509"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w:t>
            </w:r>
            <w:r>
              <w:rPr>
                <w:rFonts w:ascii="仿宋_GB2312" w:hAnsi="宋体" w:cs="宋体"/>
                <w:color w:val="auto"/>
                <w:kern w:val="0"/>
                <w:sz w:val="21"/>
                <w:szCs w:val="21"/>
              </w:rPr>
              <w:t>(</w:t>
            </w:r>
            <w:r>
              <w:rPr>
                <w:rFonts w:hint="eastAsia" w:ascii="仿宋_GB2312" w:hAnsi="宋体" w:cs="宋体"/>
                <w:color w:val="auto"/>
                <w:kern w:val="0"/>
                <w:sz w:val="21"/>
                <w:szCs w:val="21"/>
              </w:rPr>
              <w:t>20分）</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产出数量（</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5</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按照要求为土地一级开发主体垫付万溪核心区二期二阶段（第一批）第十四批次项目用地指标报批相关规税费。</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根据该项目实际，标识具体明确的产出数量</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对照绩效目标，按实际产出数量率计算得分（</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产出质量（5分）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5</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项目按质按量完成项目前期手续办理满足项目合规性</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根据该项目实际，标识具体明确的产出质量</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对照绩效目标，按实际产出质量率计算得分（5分）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产出时效（5分）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5</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按照项目上报要求，做好万溪核心区二期二阶段（第一批）第十四批次项目用地指标报批相关规税费的保障工作。</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根据该项目实际，标识具体明确的产出时效</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对照绩效目标，按实际产出时效率计算得分（5分）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产出成本（5分）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5</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对照绩效目标，按实际产出成本率计算得分（5分）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2433"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restart"/>
            <w:vAlign w:val="center"/>
          </w:tcPr>
          <w:p>
            <w:pPr>
              <w:widowControl/>
              <w:spacing w:line="260" w:lineRule="exact"/>
              <w:rPr>
                <w:rFonts w:ascii="仿宋_GB2312" w:hAnsi="宋体" w:cs="宋体"/>
                <w:color w:val="auto"/>
                <w:kern w:val="0"/>
                <w:sz w:val="21"/>
                <w:szCs w:val="21"/>
              </w:rPr>
            </w:pP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效果</w:t>
            </w:r>
            <w:r>
              <w:rPr>
                <w:rFonts w:ascii="仿宋_GB2312" w:hAnsi="宋体" w:cs="宋体"/>
                <w:color w:val="auto"/>
                <w:kern w:val="0"/>
                <w:sz w:val="21"/>
                <w:szCs w:val="21"/>
              </w:rPr>
              <w:t>(40</w:t>
            </w:r>
            <w:r>
              <w:rPr>
                <w:rFonts w:hint="eastAsia" w:ascii="仿宋_GB2312" w:hAnsi="宋体" w:cs="宋体"/>
                <w:color w:val="auto"/>
                <w:kern w:val="0"/>
                <w:sz w:val="21"/>
                <w:szCs w:val="21"/>
              </w:rPr>
              <w:t>分）</w:t>
            </w: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经济效益（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ascii="仿宋_GB2312" w:hAnsi="宋体" w:cs="宋体"/>
                <w:color w:val="auto"/>
                <w:kern w:val="0"/>
                <w:sz w:val="21"/>
                <w:szCs w:val="21"/>
              </w:rPr>
            </w:pPr>
            <w:r>
              <w:rPr>
                <w:rFonts w:ascii="仿宋_GB2312" w:hAnsi="宋体" w:cs="宋体"/>
                <w:color w:val="auto"/>
                <w:kern w:val="0"/>
                <w:sz w:val="21"/>
                <w:szCs w:val="21"/>
              </w:rPr>
              <w:t>6</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做好万溪核心区二期二阶段（第一批）第十四批次项目用地指标报批相关规税费保障工作。为园区招商引资项目顺利落地提供合规性基础保障</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根据项目实际，标识所产生的直接或间接的经济效益</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对照绩效目标，按经济效益实现程度计算得分（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2410"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社会效益（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做好万溪核心区二期二阶段（第一批）第十四批次项目用地指标报批相关规税费保障工作，为园区基础设施可持续发展提供合规性基础保障</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根据项目实际，标识所产生的社会效益</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对照绩效目标，按社会效益实现程度计算得分（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环境效益（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做好万溪核心区二期二阶段（第一批）第十四批次项目用地指标报批相关规税费保障工作。为园区建设良好的投资环境营造创造了条件。</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根据项目实际，标识对环境所产生的积极或消极影响</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对照绩效目标，按对环境所产生的实际影响程度计算得分（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可持续影响（</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31" w:type="dxa"/>
            <w:gridSpan w:val="2"/>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做好万溪核心区二期二阶段（第一批）第十四批次项目用地指标报批相关规税费保障工作。为园区可持续发展提供合规性基础保障。</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项目产出能持续运用；项目运行所依赖的政策制度能持续执行</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w:t>
            </w:r>
            <w:r>
              <w:rPr>
                <w:rFonts w:ascii="仿宋_GB2312" w:hAnsi="宋体" w:cs="宋体"/>
                <w:color w:val="auto"/>
                <w:kern w:val="0"/>
                <w:sz w:val="21"/>
                <w:szCs w:val="21"/>
              </w:rPr>
              <w:t>4</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所依赖的政策制度能持续执行（</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6" w:type="dxa"/>
          <w:trHeight w:val="879" w:hRule="atLeast"/>
        </w:trPr>
        <w:tc>
          <w:tcPr>
            <w:tcW w:w="431" w:type="dxa"/>
            <w:vMerge w:val="continue"/>
            <w:vAlign w:val="center"/>
          </w:tcPr>
          <w:p>
            <w:pPr>
              <w:widowControl/>
              <w:spacing w:line="260" w:lineRule="exact"/>
              <w:jc w:val="left"/>
              <w:rPr>
                <w:rFonts w:ascii="仿宋_GB2312" w:hAnsi="宋体" w:cs="宋体"/>
                <w:color w:val="auto"/>
                <w:kern w:val="0"/>
                <w:sz w:val="21"/>
                <w:szCs w:val="21"/>
              </w:rPr>
            </w:pPr>
          </w:p>
        </w:tc>
        <w:tc>
          <w:tcPr>
            <w:tcW w:w="509" w:type="dxa"/>
            <w:vMerge w:val="continue"/>
            <w:vAlign w:val="center"/>
          </w:tcPr>
          <w:p>
            <w:pPr>
              <w:widowControl/>
              <w:spacing w:line="260" w:lineRule="exact"/>
              <w:jc w:val="left"/>
              <w:rPr>
                <w:rFonts w:ascii="仿宋_GB2312" w:hAnsi="宋体" w:cs="宋体"/>
                <w:color w:val="auto"/>
                <w:kern w:val="0"/>
                <w:sz w:val="21"/>
                <w:szCs w:val="21"/>
              </w:rPr>
            </w:pPr>
          </w:p>
        </w:tc>
        <w:tc>
          <w:tcPr>
            <w:tcW w:w="70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服务对象满意度</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49"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31"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园区工作人员对项目建成的满意度达到满意标准</w:t>
            </w:r>
          </w:p>
        </w:tc>
        <w:tc>
          <w:tcPr>
            <w:tcW w:w="2161"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项目预期服务对象对项目实施的满意程度</w:t>
            </w:r>
          </w:p>
        </w:tc>
        <w:tc>
          <w:tcPr>
            <w:tcW w:w="2226"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按收集到的项目服务对象的满意率计算得分（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76" w:type="dxa"/>
          <w:trHeight w:val="459" w:hRule="atLeast"/>
        </w:trPr>
        <w:tc>
          <w:tcPr>
            <w:tcW w:w="1647" w:type="dxa"/>
            <w:gridSpan w:val="4"/>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总分</w:t>
            </w:r>
          </w:p>
        </w:tc>
        <w:tc>
          <w:tcPr>
            <w:tcW w:w="443"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ascii="仿宋_GB2312" w:hAnsi="宋体" w:cs="宋体"/>
                <w:color w:val="auto"/>
                <w:kern w:val="0"/>
                <w:sz w:val="21"/>
                <w:szCs w:val="21"/>
              </w:rPr>
              <w:t>9</w:t>
            </w:r>
            <w:r>
              <w:rPr>
                <w:rFonts w:hint="eastAsia" w:ascii="仿宋_GB2312" w:hAnsi="宋体" w:cs="宋体"/>
                <w:color w:val="auto"/>
                <w:kern w:val="0"/>
                <w:sz w:val="21"/>
                <w:szCs w:val="21"/>
                <w:lang w:val="en-US" w:eastAsia="zh-CN"/>
              </w:rPr>
              <w:t>3</w:t>
            </w:r>
          </w:p>
        </w:tc>
        <w:tc>
          <w:tcPr>
            <w:tcW w:w="1948"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67" w:type="dxa"/>
            <w:gridSpan w:val="2"/>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50" w:type="dxa"/>
            <w:vAlign w:val="center"/>
          </w:tcPr>
          <w:p>
            <w:pPr>
              <w:widowControl/>
              <w:spacing w:line="260" w:lineRule="exact"/>
              <w:jc w:val="center"/>
              <w:rPr>
                <w:rFonts w:ascii="仿宋_GB2312" w:hAnsi="宋体" w:cs="宋体"/>
                <w:color w:val="auto"/>
                <w:kern w:val="0"/>
                <w:sz w:val="21"/>
                <w:szCs w:val="21"/>
              </w:rPr>
            </w:pPr>
          </w:p>
        </w:tc>
      </w:tr>
    </w:tbl>
    <w:p>
      <w:pPr>
        <w:numPr>
          <w:ilvl w:val="0"/>
          <w:numId w:val="0"/>
        </w:numPr>
        <w:ind w:leftChars="200"/>
        <w:rPr>
          <w:rFonts w:hint="eastAsia" w:ascii="仿宋_GB2312"/>
          <w:b/>
          <w:szCs w:val="32"/>
        </w:rPr>
      </w:pPr>
      <w:r>
        <w:rPr>
          <w:rFonts w:hint="eastAsia" w:ascii="仿宋_GB2312"/>
          <w:b/>
          <w:szCs w:val="32"/>
          <w:lang w:eastAsia="zh-CN"/>
        </w:rPr>
        <w:t>六、</w:t>
      </w: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pStyle w:val="3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应不断</w:t>
      </w:r>
      <w:r>
        <w:rPr>
          <w:rFonts w:hint="eastAsia" w:ascii="仿宋_GB2312" w:hAnsi="仿宋_GB2312" w:eastAsia="仿宋_GB2312" w:cs="仿宋_GB2312"/>
          <w:sz w:val="32"/>
          <w:szCs w:val="32"/>
        </w:rPr>
        <w:t>完善项目绩效管理责任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明确项目绩效管理</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责任主体，</w:t>
      </w:r>
      <w:r>
        <w:rPr>
          <w:rFonts w:hint="eastAsia" w:ascii="仿宋_GB2312" w:hAnsi="仿宋_GB2312" w:eastAsia="仿宋_GB2312" w:cs="仿宋_GB2312"/>
          <w:sz w:val="32"/>
          <w:szCs w:val="32"/>
          <w:lang w:val="en-US" w:eastAsia="zh-CN"/>
        </w:rPr>
        <w:t>增强项目实施主体单位绩效意识，牢固树立花钱必讲绩效的意识，</w:t>
      </w:r>
      <w:r>
        <w:rPr>
          <w:rFonts w:hint="eastAsia" w:ascii="仿宋_GB2312" w:hAnsi="仿宋_GB2312" w:eastAsia="仿宋_GB2312" w:cs="仿宋_GB2312"/>
          <w:sz w:val="32"/>
          <w:szCs w:val="32"/>
        </w:rPr>
        <w:t>今后在后续的工作中也将继续保持积极认真的工作态度，保障项目高质量按期完成。</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昆明呈贡信息产业园区管理委员会</w:t>
      </w:r>
    </w:p>
    <w:p>
      <w:pPr>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仿宋_GB2312" w:cs="Times New Roman"/>
          <w:lang w:val="en-US" w:eastAsia="zh-CN"/>
        </w:rPr>
        <w:t xml:space="preserve"> </w:t>
      </w:r>
      <w:r>
        <w:rPr>
          <w:rFonts w:hint="eastAsia" w:ascii="Times New Roman" w:hAnsi="Times New Roman" w:cs="Times New Roman"/>
          <w:lang w:val="en-US" w:eastAsia="zh-CN"/>
        </w:rPr>
        <w:t>2023</w:t>
      </w:r>
      <w:r>
        <w:rPr>
          <w:rFonts w:hint="default" w:ascii="Times New Roman" w:hAnsi="Times New Roman" w:eastAsia="仿宋_GB2312" w:cs="Times New Roman"/>
          <w:lang w:val="en-US" w:eastAsia="zh-CN"/>
        </w:rPr>
        <w:t>年</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30</w:t>
      </w:r>
      <w:r>
        <w:rPr>
          <w:rFonts w:hint="default" w:ascii="Times New Roman" w:hAnsi="Times New Roman" w:eastAsia="仿宋_GB2312" w:cs="Times New Roman"/>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rPr>
      </w:pPr>
    </w:p>
    <w:p>
      <w:pPr>
        <w:ind w:firstLine="594" w:firstLineChars="200"/>
        <w:rPr>
          <w:rFonts w:hint="eastAsia" w:ascii="Times New Roman" w:hAnsi="Times New Roman" w:eastAsia="仿宋_GB2312" w:cs="Times New Roman"/>
          <w:sz w:val="32"/>
          <w:szCs w:val="32"/>
          <w:highlight w:val="none"/>
          <w:lang w:val="en-US" w:eastAsia="zh-CN"/>
        </w:rPr>
      </w:pPr>
    </w:p>
    <w:p>
      <w:pPr>
        <w:ind w:firstLine="594" w:firstLineChars="200"/>
        <w:rPr>
          <w:rFonts w:hint="eastAsia" w:ascii="仿宋_GB2312"/>
          <w:szCs w:val="32"/>
        </w:rPr>
      </w:pPr>
    </w:p>
    <w:p>
      <w:pPr>
        <w:ind w:firstLine="594" w:firstLineChars="200"/>
      </w:pPr>
    </w:p>
    <w:sectPr>
      <w:footerReference r:id="rId4" w:type="default"/>
      <w:headerReference r:id="rId3" w:type="even"/>
      <w:pgSz w:w="11906" w:h="16838"/>
      <w:pgMar w:top="1723" w:right="1800" w:bottom="1723" w:left="1800" w:header="851" w:footer="992" w:gutter="0"/>
      <w:pgNumType w:fmt="numberInDash"/>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caps/>
        <w:color w:val="000000" w:themeColor="text1"/>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default" w:ascii="Times New Roman" w:hAnsi="Times New Roman" w:cs="Times New Roman"/>
                              <w:caps/>
                              <w:color w:val="000000" w:themeColor="text1"/>
                              <w:sz w:val="30"/>
                              <w:szCs w:val="30"/>
                              <w14:textFill>
                                <w14:solidFill>
                                  <w14:schemeClr w14:val="tx1"/>
                                </w14:solidFill>
                              </w14:textFill>
                            </w:rPr>
                            <w:fldChar w:fldCharType="begin"/>
                          </w:r>
                          <w:r>
                            <w:rPr>
                              <w:rFonts w:hint="default" w:ascii="Times New Roman" w:hAnsi="Times New Roman" w:cs="Times New Roman"/>
                              <w:caps/>
                              <w:color w:val="000000" w:themeColor="text1"/>
                              <w:sz w:val="30"/>
                              <w:szCs w:val="30"/>
                              <w14:textFill>
                                <w14:solidFill>
                                  <w14:schemeClr w14:val="tx1"/>
                                </w14:solidFill>
                              </w14:textFill>
                            </w:rPr>
                            <w:instrText xml:space="preserve">PAGE   \* MERGEFORMAT</w:instrText>
                          </w:r>
                          <w:r>
                            <w:rPr>
                              <w:rFonts w:hint="default" w:ascii="Times New Roman" w:hAnsi="Times New Roman" w:cs="Times New Roman"/>
                              <w:caps/>
                              <w:color w:val="000000" w:themeColor="text1"/>
                              <w:sz w:val="30"/>
                              <w:szCs w:val="30"/>
                              <w14:textFill>
                                <w14:solidFill>
                                  <w14:schemeClr w14:val="tx1"/>
                                </w14:solidFill>
                              </w14:textFill>
                            </w:rPr>
                            <w:fldChar w:fldCharType="separate"/>
                          </w:r>
                          <w:r>
                            <w:rPr>
                              <w:rFonts w:hint="default" w:ascii="Times New Roman" w:hAnsi="Times New Roman" w:cs="Times New Roman"/>
                              <w:caps/>
                              <w:color w:val="000000" w:themeColor="text1"/>
                              <w:sz w:val="30"/>
                              <w:szCs w:val="30"/>
                              <w:lang w:val="zh-CN"/>
                              <w14:textFill>
                                <w14:solidFill>
                                  <w14:schemeClr w14:val="tx1"/>
                                </w14:solidFill>
                              </w14:textFill>
                            </w:rPr>
                            <w:t>7</w:t>
                          </w:r>
                          <w:r>
                            <w:rPr>
                              <w:rFonts w:hint="default" w:ascii="Times New Roman" w:hAnsi="Times New Roman" w:cs="Times New Roman"/>
                              <w:caps/>
                              <w:color w:val="000000" w:themeColor="text1"/>
                              <w:sz w:val="30"/>
                              <w:szCs w:val="30"/>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3"/>
                      <w:jc w:val="center"/>
                    </w:pPr>
                    <w:r>
                      <w:rPr>
                        <w:rFonts w:hint="default" w:ascii="Times New Roman" w:hAnsi="Times New Roman" w:cs="Times New Roman"/>
                        <w:caps/>
                        <w:color w:val="000000" w:themeColor="text1"/>
                        <w:sz w:val="30"/>
                        <w:szCs w:val="30"/>
                        <w14:textFill>
                          <w14:solidFill>
                            <w14:schemeClr w14:val="tx1"/>
                          </w14:solidFill>
                        </w14:textFill>
                      </w:rPr>
                      <w:fldChar w:fldCharType="begin"/>
                    </w:r>
                    <w:r>
                      <w:rPr>
                        <w:rFonts w:hint="default" w:ascii="Times New Roman" w:hAnsi="Times New Roman" w:cs="Times New Roman"/>
                        <w:caps/>
                        <w:color w:val="000000" w:themeColor="text1"/>
                        <w:sz w:val="30"/>
                        <w:szCs w:val="30"/>
                        <w14:textFill>
                          <w14:solidFill>
                            <w14:schemeClr w14:val="tx1"/>
                          </w14:solidFill>
                        </w14:textFill>
                      </w:rPr>
                      <w:instrText xml:space="preserve">PAGE   \* MERGEFORMAT</w:instrText>
                    </w:r>
                    <w:r>
                      <w:rPr>
                        <w:rFonts w:hint="default" w:ascii="Times New Roman" w:hAnsi="Times New Roman" w:cs="Times New Roman"/>
                        <w:caps/>
                        <w:color w:val="000000" w:themeColor="text1"/>
                        <w:sz w:val="30"/>
                        <w:szCs w:val="30"/>
                        <w14:textFill>
                          <w14:solidFill>
                            <w14:schemeClr w14:val="tx1"/>
                          </w14:solidFill>
                        </w14:textFill>
                      </w:rPr>
                      <w:fldChar w:fldCharType="separate"/>
                    </w:r>
                    <w:r>
                      <w:rPr>
                        <w:rFonts w:hint="default" w:ascii="Times New Roman" w:hAnsi="Times New Roman" w:cs="Times New Roman"/>
                        <w:caps/>
                        <w:color w:val="000000" w:themeColor="text1"/>
                        <w:sz w:val="30"/>
                        <w:szCs w:val="30"/>
                        <w:lang w:val="zh-CN"/>
                        <w14:textFill>
                          <w14:solidFill>
                            <w14:schemeClr w14:val="tx1"/>
                          </w14:solidFill>
                        </w14:textFill>
                      </w:rPr>
                      <w:t>7</w:t>
                    </w:r>
                    <w:r>
                      <w:rPr>
                        <w:rFonts w:hint="default" w:ascii="Times New Roman" w:hAnsi="Times New Roman" w:cs="Times New Roman"/>
                        <w:caps/>
                        <w:color w:val="000000" w:themeColor="text1"/>
                        <w:sz w:val="30"/>
                        <w:szCs w:val="30"/>
                        <w14:textFill>
                          <w14:solidFill>
                            <w14:schemeClr w14:val="tx1"/>
                          </w14:solidFill>
                        </w14:textFill>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华为昆明软件开发云创新中心介绍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A5A0399B"/>
    <w:multiLevelType w:val="singleLevel"/>
    <w:tmpl w:val="A5A0399B"/>
    <w:lvl w:ilvl="0" w:tentative="0">
      <w:start w:val="1"/>
      <w:numFmt w:val="decimal"/>
      <w:suff w:val="nothing"/>
      <w:lvlText w:val="%1、"/>
      <w:lvlJc w:val="left"/>
    </w:lvl>
  </w:abstractNum>
  <w:abstractNum w:abstractNumId="2">
    <w:nsid w:val="F8A2BB82"/>
    <w:multiLevelType w:val="singleLevel"/>
    <w:tmpl w:val="F8A2BB82"/>
    <w:lvl w:ilvl="0" w:tentative="0">
      <w:start w:val="1"/>
      <w:numFmt w:val="decimal"/>
      <w:suff w:val="nothing"/>
      <w:lvlText w:val="%1、"/>
      <w:lvlJc w:val="left"/>
    </w:lvl>
  </w:abstractNum>
  <w:abstractNum w:abstractNumId="3">
    <w:nsid w:val="357E6BD6"/>
    <w:multiLevelType w:val="multilevel"/>
    <w:tmpl w:val="357E6BD6"/>
    <w:lvl w:ilvl="0" w:tentative="0">
      <w:start w:val="1"/>
      <w:numFmt w:val="chineseCountingThousand"/>
      <w:pStyle w:val="2"/>
      <w:suff w:val="nothing"/>
      <w:lvlText w:val="第%1章"/>
      <w:lvlJc w:val="left"/>
      <w:pPr>
        <w:ind w:left="142"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4">
    <w:nsid w:val="43B18715"/>
    <w:multiLevelType w:val="singleLevel"/>
    <w:tmpl w:val="43B18715"/>
    <w:lvl w:ilvl="0" w:tentative="0">
      <w:start w:val="2"/>
      <w:numFmt w:val="chineseCounting"/>
      <w:suff w:val="nothing"/>
      <w:lvlText w:val="（%1）"/>
      <w:lvlJc w:val="left"/>
      <w:rPr>
        <w:rFonts w:hint="eastAsia"/>
      </w:rPr>
    </w:lvl>
  </w:abstractNum>
  <w:abstractNum w:abstractNumId="5">
    <w:nsid w:val="760A7D33"/>
    <w:multiLevelType w:val="singleLevel"/>
    <w:tmpl w:val="760A7D33"/>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50"/>
    <w:rsid w:val="00013916"/>
    <w:rsid w:val="000219E6"/>
    <w:rsid w:val="001E0D61"/>
    <w:rsid w:val="002413AE"/>
    <w:rsid w:val="00281320"/>
    <w:rsid w:val="003401D3"/>
    <w:rsid w:val="003A2B3A"/>
    <w:rsid w:val="003A2FB4"/>
    <w:rsid w:val="0044192C"/>
    <w:rsid w:val="00450909"/>
    <w:rsid w:val="00457180"/>
    <w:rsid w:val="00476E7B"/>
    <w:rsid w:val="00482CAD"/>
    <w:rsid w:val="00485BB6"/>
    <w:rsid w:val="005D1A64"/>
    <w:rsid w:val="0062206C"/>
    <w:rsid w:val="006A7C52"/>
    <w:rsid w:val="007268DF"/>
    <w:rsid w:val="00846594"/>
    <w:rsid w:val="00930176"/>
    <w:rsid w:val="00A954D6"/>
    <w:rsid w:val="00AD2790"/>
    <w:rsid w:val="00B87E79"/>
    <w:rsid w:val="00BD5BE1"/>
    <w:rsid w:val="00CA09BB"/>
    <w:rsid w:val="00CC2350"/>
    <w:rsid w:val="00CD1FC0"/>
    <w:rsid w:val="00D70E6F"/>
    <w:rsid w:val="00D81336"/>
    <w:rsid w:val="00DB7F10"/>
    <w:rsid w:val="00E77698"/>
    <w:rsid w:val="00EE78C1"/>
    <w:rsid w:val="00F42754"/>
    <w:rsid w:val="00F6548D"/>
    <w:rsid w:val="05AE36CA"/>
    <w:rsid w:val="0897336A"/>
    <w:rsid w:val="0CAD398A"/>
    <w:rsid w:val="223F0577"/>
    <w:rsid w:val="2E471E82"/>
    <w:rsid w:val="378A5996"/>
    <w:rsid w:val="3A733584"/>
    <w:rsid w:val="3ABA524C"/>
    <w:rsid w:val="40777EA8"/>
    <w:rsid w:val="47411A94"/>
    <w:rsid w:val="4ACD0C0E"/>
    <w:rsid w:val="4B061836"/>
    <w:rsid w:val="4EF255B1"/>
    <w:rsid w:val="548D59AA"/>
    <w:rsid w:val="5534150E"/>
    <w:rsid w:val="59D27073"/>
    <w:rsid w:val="5A3C6978"/>
    <w:rsid w:val="67600811"/>
    <w:rsid w:val="6AA53D04"/>
    <w:rsid w:val="6E096087"/>
    <w:rsid w:val="6E0C6790"/>
    <w:rsid w:val="6F8D416E"/>
    <w:rsid w:val="741929EC"/>
    <w:rsid w:val="74C3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3"/>
    <w:next w:val="3"/>
    <w:link w:val="21"/>
    <w:qFormat/>
    <w:uiPriority w:val="9"/>
    <w:pPr>
      <w:keepNext/>
      <w:keepLines/>
      <w:widowControl/>
      <w:numPr>
        <w:ilvl w:val="0"/>
        <w:numId w:val="1"/>
      </w:numPr>
      <w:spacing w:before="340" w:after="330" w:line="578" w:lineRule="auto"/>
      <w:jc w:val="left"/>
      <w:outlineLvl w:val="0"/>
    </w:pPr>
    <w:rPr>
      <w:rFonts w:eastAsiaTheme="minorEastAsia"/>
      <w:b/>
      <w:bCs/>
      <w:kern w:val="44"/>
      <w:sz w:val="44"/>
      <w:szCs w:val="44"/>
    </w:rPr>
  </w:style>
  <w:style w:type="paragraph" w:styleId="4">
    <w:name w:val="heading 2"/>
    <w:basedOn w:val="1"/>
    <w:next w:val="1"/>
    <w:link w:val="22"/>
    <w:unhideWhenUsed/>
    <w:qFormat/>
    <w:uiPriority w:val="0"/>
    <w:pPr>
      <w:keepNext/>
      <w:keepLines/>
      <w:widowControl/>
      <w:numPr>
        <w:ilvl w:val="1"/>
        <w:numId w:val="1"/>
      </w:numPr>
      <w:spacing w:before="260" w:after="260" w:line="416" w:lineRule="auto"/>
      <w:jc w:val="left"/>
      <w:outlineLvl w:val="1"/>
    </w:pPr>
    <w:rPr>
      <w:rFonts w:asciiTheme="majorHAnsi" w:hAnsiTheme="majorHAnsi" w:eastAsiaTheme="majorEastAsia" w:cstheme="majorBidi"/>
      <w:b/>
      <w:bCs/>
      <w:szCs w:val="32"/>
    </w:rPr>
  </w:style>
  <w:style w:type="paragraph" w:styleId="5">
    <w:name w:val="heading 3"/>
    <w:basedOn w:val="1"/>
    <w:next w:val="1"/>
    <w:link w:val="23"/>
    <w:unhideWhenUsed/>
    <w:qFormat/>
    <w:uiPriority w:val="0"/>
    <w:pPr>
      <w:keepNext/>
      <w:keepLines/>
      <w:widowControl/>
      <w:numPr>
        <w:ilvl w:val="2"/>
        <w:numId w:val="1"/>
      </w:numPr>
      <w:spacing w:before="260" w:after="260" w:line="416" w:lineRule="auto"/>
      <w:jc w:val="left"/>
      <w:outlineLvl w:val="2"/>
    </w:pPr>
    <w:rPr>
      <w:rFonts w:eastAsiaTheme="minorEastAsia"/>
      <w:b/>
      <w:bCs/>
      <w:szCs w:val="32"/>
    </w:rPr>
  </w:style>
  <w:style w:type="paragraph" w:styleId="6">
    <w:name w:val="heading 4"/>
    <w:basedOn w:val="1"/>
    <w:next w:val="1"/>
    <w:link w:val="24"/>
    <w:unhideWhenUsed/>
    <w:qFormat/>
    <w:uiPriority w:val="9"/>
    <w:pPr>
      <w:keepNext/>
      <w:keepLines/>
      <w:widowControl/>
      <w:numPr>
        <w:ilvl w:val="3"/>
        <w:numId w:val="1"/>
      </w:numPr>
      <w:spacing w:before="280" w:after="290" w:line="376" w:lineRule="auto"/>
      <w:jc w:val="left"/>
      <w:outlineLvl w:val="3"/>
    </w:pPr>
    <w:rPr>
      <w:rFonts w:asciiTheme="majorHAnsi" w:hAnsiTheme="majorHAnsi" w:eastAsiaTheme="majorEastAsia" w:cstheme="majorBidi"/>
      <w:b/>
      <w:bCs/>
      <w:sz w:val="28"/>
      <w:szCs w:val="28"/>
    </w:rPr>
  </w:style>
  <w:style w:type="paragraph" w:styleId="7">
    <w:name w:val="heading 5"/>
    <w:basedOn w:val="1"/>
    <w:next w:val="1"/>
    <w:link w:val="25"/>
    <w:semiHidden/>
    <w:unhideWhenUsed/>
    <w:qFormat/>
    <w:uiPriority w:val="9"/>
    <w:pPr>
      <w:keepNext/>
      <w:keepLines/>
      <w:widowControl/>
      <w:numPr>
        <w:ilvl w:val="4"/>
        <w:numId w:val="1"/>
      </w:numPr>
      <w:spacing w:before="280" w:after="290" w:line="376" w:lineRule="auto"/>
      <w:jc w:val="left"/>
      <w:outlineLvl w:val="4"/>
    </w:pPr>
    <w:rPr>
      <w:rFonts w:eastAsiaTheme="minorEastAsia"/>
      <w:b/>
      <w:bCs/>
      <w:sz w:val="28"/>
      <w:szCs w:val="28"/>
    </w:rPr>
  </w:style>
  <w:style w:type="paragraph" w:styleId="8">
    <w:name w:val="heading 6"/>
    <w:basedOn w:val="1"/>
    <w:next w:val="1"/>
    <w:link w:val="26"/>
    <w:semiHidden/>
    <w:unhideWhenUsed/>
    <w:qFormat/>
    <w:uiPriority w:val="9"/>
    <w:pPr>
      <w:keepNext/>
      <w:keepLines/>
      <w:widowControl/>
      <w:numPr>
        <w:ilvl w:val="5"/>
        <w:numId w:val="1"/>
      </w:numPr>
      <w:spacing w:before="240" w:after="64" w:line="320" w:lineRule="auto"/>
      <w:jc w:val="left"/>
      <w:outlineLvl w:val="5"/>
    </w:pPr>
    <w:rPr>
      <w:rFonts w:asciiTheme="majorHAnsi" w:hAnsiTheme="majorHAnsi" w:eastAsiaTheme="majorEastAsia" w:cstheme="majorBidi"/>
      <w:b/>
      <w:bCs/>
      <w:sz w:val="24"/>
      <w:szCs w:val="24"/>
    </w:rPr>
  </w:style>
  <w:style w:type="paragraph" w:styleId="9">
    <w:name w:val="heading 7"/>
    <w:basedOn w:val="1"/>
    <w:next w:val="1"/>
    <w:link w:val="27"/>
    <w:semiHidden/>
    <w:unhideWhenUsed/>
    <w:qFormat/>
    <w:uiPriority w:val="9"/>
    <w:pPr>
      <w:keepNext/>
      <w:keepLines/>
      <w:widowControl/>
      <w:numPr>
        <w:ilvl w:val="6"/>
        <w:numId w:val="1"/>
      </w:numPr>
      <w:spacing w:before="240" w:after="64" w:line="320" w:lineRule="auto"/>
      <w:jc w:val="left"/>
      <w:outlineLvl w:val="6"/>
    </w:pPr>
    <w:rPr>
      <w:rFonts w:eastAsiaTheme="minorEastAsia"/>
      <w:b/>
      <w:bCs/>
      <w:sz w:val="24"/>
      <w:szCs w:val="24"/>
    </w:rPr>
  </w:style>
  <w:style w:type="paragraph" w:styleId="10">
    <w:name w:val="heading 8"/>
    <w:basedOn w:val="1"/>
    <w:next w:val="1"/>
    <w:link w:val="28"/>
    <w:semiHidden/>
    <w:unhideWhenUsed/>
    <w:qFormat/>
    <w:uiPriority w:val="9"/>
    <w:pPr>
      <w:keepNext/>
      <w:keepLines/>
      <w:widowControl/>
      <w:numPr>
        <w:ilvl w:val="7"/>
        <w:numId w:val="1"/>
      </w:numPr>
      <w:spacing w:before="240" w:after="64" w:line="320" w:lineRule="auto"/>
      <w:jc w:val="left"/>
      <w:outlineLvl w:val="7"/>
    </w:pPr>
    <w:rPr>
      <w:rFonts w:asciiTheme="majorHAnsi" w:hAnsiTheme="majorHAnsi" w:eastAsiaTheme="majorEastAsia" w:cstheme="majorBidi"/>
      <w:sz w:val="24"/>
      <w:szCs w:val="24"/>
    </w:rPr>
  </w:style>
  <w:style w:type="paragraph" w:styleId="11">
    <w:name w:val="heading 9"/>
    <w:basedOn w:val="1"/>
    <w:next w:val="1"/>
    <w:link w:val="29"/>
    <w:semiHidden/>
    <w:unhideWhenUsed/>
    <w:qFormat/>
    <w:uiPriority w:val="9"/>
    <w:pPr>
      <w:keepNext/>
      <w:keepLines/>
      <w:widowControl/>
      <w:numPr>
        <w:ilvl w:val="8"/>
        <w:numId w:val="1"/>
      </w:numPr>
      <w:spacing w:before="240" w:after="64" w:line="320" w:lineRule="auto"/>
      <w:jc w:val="left"/>
      <w:outlineLvl w:val="8"/>
    </w:pPr>
    <w:rPr>
      <w:rFonts w:asciiTheme="majorHAnsi" w:hAnsiTheme="majorHAnsi" w:eastAsiaTheme="majorEastAsia" w:cstheme="majorBidi"/>
      <w:sz w:val="21"/>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0"/>
    <w:qFormat/>
    <w:uiPriority w:val="99"/>
    <w:pPr>
      <w:tabs>
        <w:tab w:val="center" w:pos="4153"/>
        <w:tab w:val="right" w:pos="8306"/>
      </w:tabs>
      <w:snapToGrid w:val="0"/>
      <w:jc w:val="left"/>
    </w:pPr>
    <w:rPr>
      <w:sz w:val="18"/>
      <w:szCs w:val="18"/>
    </w:rPr>
  </w:style>
  <w:style w:type="paragraph" w:styleId="14">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pPr>
      <w:spacing w:line="360" w:lineRule="auto"/>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basedOn w:val="18"/>
    <w:link w:val="14"/>
    <w:qFormat/>
    <w:uiPriority w:val="99"/>
    <w:rPr>
      <w:rFonts w:eastAsia="仿宋_GB2312"/>
      <w:kern w:val="2"/>
      <w:sz w:val="18"/>
      <w:szCs w:val="18"/>
    </w:rPr>
  </w:style>
  <w:style w:type="character" w:customStyle="1" w:styleId="20">
    <w:name w:val="页脚 字符"/>
    <w:basedOn w:val="18"/>
    <w:link w:val="13"/>
    <w:qFormat/>
    <w:uiPriority w:val="99"/>
    <w:rPr>
      <w:rFonts w:eastAsia="仿宋_GB2312"/>
      <w:kern w:val="2"/>
      <w:sz w:val="18"/>
      <w:szCs w:val="18"/>
    </w:rPr>
  </w:style>
  <w:style w:type="character" w:customStyle="1" w:styleId="21">
    <w:name w:val="标题 1 字符"/>
    <w:basedOn w:val="18"/>
    <w:link w:val="2"/>
    <w:qFormat/>
    <w:uiPriority w:val="9"/>
    <w:rPr>
      <w:b/>
      <w:bCs/>
      <w:kern w:val="44"/>
      <w:sz w:val="44"/>
      <w:szCs w:val="44"/>
    </w:rPr>
  </w:style>
  <w:style w:type="character" w:customStyle="1" w:styleId="22">
    <w:name w:val="标题 2 字符"/>
    <w:basedOn w:val="18"/>
    <w:link w:val="4"/>
    <w:qFormat/>
    <w:uiPriority w:val="0"/>
    <w:rPr>
      <w:rFonts w:asciiTheme="majorHAnsi" w:hAnsiTheme="majorHAnsi" w:eastAsiaTheme="majorEastAsia" w:cstheme="majorBidi"/>
      <w:b/>
      <w:bCs/>
      <w:kern w:val="2"/>
      <w:sz w:val="32"/>
      <w:szCs w:val="32"/>
    </w:rPr>
  </w:style>
  <w:style w:type="character" w:customStyle="1" w:styleId="23">
    <w:name w:val="标题 3 字符"/>
    <w:basedOn w:val="18"/>
    <w:link w:val="5"/>
    <w:qFormat/>
    <w:uiPriority w:val="0"/>
    <w:rPr>
      <w:b/>
      <w:bCs/>
      <w:kern w:val="2"/>
      <w:sz w:val="32"/>
      <w:szCs w:val="32"/>
    </w:rPr>
  </w:style>
  <w:style w:type="character" w:customStyle="1" w:styleId="24">
    <w:name w:val="标题 4 字符"/>
    <w:basedOn w:val="18"/>
    <w:link w:val="6"/>
    <w:qFormat/>
    <w:uiPriority w:val="9"/>
    <w:rPr>
      <w:rFonts w:asciiTheme="majorHAnsi" w:hAnsiTheme="majorHAnsi" w:eastAsiaTheme="majorEastAsia" w:cstheme="majorBidi"/>
      <w:b/>
      <w:bCs/>
      <w:kern w:val="2"/>
      <w:sz w:val="28"/>
      <w:szCs w:val="28"/>
    </w:rPr>
  </w:style>
  <w:style w:type="character" w:customStyle="1" w:styleId="25">
    <w:name w:val="标题 5 字符"/>
    <w:basedOn w:val="18"/>
    <w:link w:val="7"/>
    <w:semiHidden/>
    <w:qFormat/>
    <w:uiPriority w:val="9"/>
    <w:rPr>
      <w:b/>
      <w:bCs/>
      <w:kern w:val="2"/>
      <w:sz w:val="28"/>
      <w:szCs w:val="28"/>
    </w:rPr>
  </w:style>
  <w:style w:type="character" w:customStyle="1" w:styleId="26">
    <w:name w:val="标题 6 字符"/>
    <w:basedOn w:val="18"/>
    <w:link w:val="8"/>
    <w:semiHidden/>
    <w:qFormat/>
    <w:uiPriority w:val="9"/>
    <w:rPr>
      <w:rFonts w:asciiTheme="majorHAnsi" w:hAnsiTheme="majorHAnsi" w:eastAsiaTheme="majorEastAsia" w:cstheme="majorBidi"/>
      <w:b/>
      <w:bCs/>
      <w:kern w:val="2"/>
      <w:sz w:val="24"/>
      <w:szCs w:val="24"/>
    </w:rPr>
  </w:style>
  <w:style w:type="character" w:customStyle="1" w:styleId="27">
    <w:name w:val="标题 7 字符"/>
    <w:basedOn w:val="18"/>
    <w:link w:val="9"/>
    <w:semiHidden/>
    <w:qFormat/>
    <w:uiPriority w:val="9"/>
    <w:rPr>
      <w:b/>
      <w:bCs/>
      <w:kern w:val="2"/>
      <w:sz w:val="24"/>
      <w:szCs w:val="24"/>
    </w:rPr>
  </w:style>
  <w:style w:type="character" w:customStyle="1" w:styleId="28">
    <w:name w:val="标题 8 字符"/>
    <w:basedOn w:val="18"/>
    <w:link w:val="10"/>
    <w:semiHidden/>
    <w:qFormat/>
    <w:uiPriority w:val="9"/>
    <w:rPr>
      <w:rFonts w:asciiTheme="majorHAnsi" w:hAnsiTheme="majorHAnsi" w:eastAsiaTheme="majorEastAsia" w:cstheme="majorBidi"/>
      <w:kern w:val="2"/>
      <w:sz w:val="24"/>
      <w:szCs w:val="24"/>
    </w:rPr>
  </w:style>
  <w:style w:type="character" w:customStyle="1" w:styleId="29">
    <w:name w:val="标题 9 字符"/>
    <w:basedOn w:val="18"/>
    <w:link w:val="11"/>
    <w:semiHidden/>
    <w:qFormat/>
    <w:uiPriority w:val="9"/>
    <w:rPr>
      <w:rFonts w:asciiTheme="majorHAnsi" w:hAnsiTheme="majorHAnsi" w:eastAsiaTheme="majorEastAsia" w:cstheme="majorBidi"/>
      <w:kern w:val="2"/>
      <w:sz w:val="21"/>
      <w:szCs w:val="21"/>
    </w:rPr>
  </w:style>
  <w:style w:type="character" w:customStyle="1" w:styleId="30">
    <w:name w:val="description"/>
    <w:basedOn w:val="18"/>
    <w:qFormat/>
    <w:uiPriority w:val="0"/>
  </w:style>
  <w:style w:type="paragraph" w:styleId="31">
    <w:name w:val="List Paragraph"/>
    <w:basedOn w:val="1"/>
    <w:qFormat/>
    <w:uiPriority w:val="99"/>
    <w:pPr>
      <w:ind w:firstLine="420" w:firstLineChars="200"/>
    </w:pPr>
  </w:style>
  <w:style w:type="character" w:customStyle="1" w:styleId="32">
    <w:name w:val="批注框文本 字符"/>
    <w:basedOn w:val="18"/>
    <w:link w:val="12"/>
    <w:qFormat/>
    <w:uiPriority w:val="0"/>
    <w:rPr>
      <w:rFonts w:eastAsia="仿宋_GB2312"/>
      <w:kern w:val="2"/>
      <w:sz w:val="18"/>
      <w:szCs w:val="18"/>
    </w:rPr>
  </w:style>
  <w:style w:type="paragraph" w:customStyle="1" w:styleId="33">
    <w:name w:val="正文缩进1"/>
    <w:basedOn w:val="1"/>
    <w:qFormat/>
    <w:uiPriority w:val="0"/>
    <w:pPr>
      <w:ind w:firstLine="420" w:firstLineChars="200"/>
    </w:pPr>
    <w:rPr>
      <w:rFonts w:ascii="Calibri" w:hAnsi="Calibri"/>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7</Pages>
  <Words>432</Words>
  <Characters>2465</Characters>
  <Lines>20</Lines>
  <Paragraphs>5</Paragraphs>
  <TotalTime>0</TotalTime>
  <ScaleCrop>false</ScaleCrop>
  <LinksUpToDate>false</LinksUpToDate>
  <CharactersWithSpaces>2892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2019-07-15T01:17:00Z</dcterms:created>
  <dc:creator>jyjcg</dc:creator>
  <cp:lastModifiedBy>西北半张脸</cp:lastModifiedBy>
  <cp:lastPrinted>2019-03-21T07:08:00Z</cp:lastPrinted>
  <dcterms:modified xsi:type="dcterms:W3CDTF">2023-09-26T06:35:24Z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_2015_ms_pID_725343">
    <vt:lpwstr>(3)esCGCJe3Xr+aYbYYla2ZQCkB/o3Diy8VuqmEICjAS2/8b8PkspG0xA1lw4eyhbaQLVY9JuKz
pAQfILf92k8hJUrfmLfZSvfC6TURnvBIfjCZv/w2/r5Y2QQdWUx5kN/6poWJJZVbFocUwD8d
w1MahL4tQZiSHo2eD/CQ/SB1DQIgnLatw2OKLukVCDbZugmgone6RqRgS9DGOTx5M2HPcW6V
s7Fu2w3GHGIdJ+wOHV</vt:lpwstr>
  </property>
  <property fmtid="{D5CDD505-2E9C-101B-9397-08002B2CF9AE}" pid="4" name="_2015_ms_pID_7253431">
    <vt:lpwstr>4E/GzvmdZfTuRPpDXsRa+duvlfjyJzckzBaQZFtLFvJ8+xgfXkgcpv
PXz0exqmfUYmRnLX3kC+HbX86D51hWvdoPj+aqhrq6S0jACVK61HW04mh/zHtcVJbHEGnl2E
21XYPJk8CQFaGvvIlJ65Xxpd7ZPBZSES19udN31BIxabqPCuZ+1Jd08hLV3YH1qjAIKxLddd
P+GMmEQoGx+6Zti/elUj9w9kop2YrzH6LiM7</vt:lpwstr>
  </property>
  <property fmtid="{D5CDD505-2E9C-101B-9397-08002B2CF9AE}" pid="5" name="_2015_ms_pID_7253432">
    <vt:lpwstr>0A==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1553157615</vt:lpwstr>
  </property>
  <property fmtid="{D5CDD505-2E9C-101B-9397-08002B2CF9AE}" pid="10" name="ICV">
    <vt:lpwstr>D629E1868BF44923AE41804C6DD57B3A</vt:lpwstr>
  </property>
</Properties>
</file>