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3-2</w:t>
      </w:r>
      <w:r>
        <w:rPr>
          <w:rFonts w:hint="eastAsia" w:ascii="黑体" w:eastAsia="黑体"/>
          <w:szCs w:val="32"/>
        </w:rPr>
        <w:t>：</w:t>
      </w:r>
    </w:p>
    <w:p>
      <w:pPr>
        <w:spacing w:line="600" w:lineRule="exact"/>
        <w:rPr>
          <w:rFonts w:hint="eastAsia" w:ascii="黑体" w:eastAsia="黑体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昆明市呈贡区医疗保障局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部门整体支出绩效评价报告</w:t>
      </w:r>
    </w:p>
    <w:p>
      <w:pPr>
        <w:spacing w:line="600" w:lineRule="exact"/>
        <w:ind w:firstLine="669" w:firstLineChars="225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（一）部门整体支出情况。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80" w:lineRule="exact"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昆明市呈贡区医疗保障局为一级行政机关预算单位。行政编制3名，其中设局长1名。内设综合科1个科室。下设一个参公管理事业单位：昆明市呈贡区医疗保险管理局。医疗保险管理局有公务员编制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名，其中设局长1名。内设5个科室，分别为办公室、参保科、审核科、稽核科、基金科。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80" w:lineRule="exact"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局202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年年初预算整体收入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5906.60万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元，整体支出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5906.60万元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，结转结余0元，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年实际执行全年收入为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4919.29万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元，占预算收入执行率为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83.28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%，全年整体支出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4919.29万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元，占预算总支出执行率为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83.28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%，年末结转结余为0元，当年收支平衡。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年收入为一般公共预算财政拨款收入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4919.29万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元，支出为一般公共预算财政拨款收入支出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4919.29万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元，其中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一般公共服务支出1.10万元，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教育支出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0.84万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元，社会保障和就业支出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93.43万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元，卫生健康支出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4778.31万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元，住房保障支出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45.61万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zCs w:val="32"/>
        </w:rPr>
        <w:t>（二）部门整体支出绩效目标，主要包括区委、区政府或上级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主管部门绩效考核的个性指标、预决算公开、存量资金管理、资产管理、三公经费控制、内部管理制度建设等的设定及完成情况，项目绩效总目标和阶段性目标完成情况及预期经济、社会效益等。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1.整体目标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1）进一步提高政治站位，坚决贯彻党中央、国务院和各级党委、政府关于疫情防控的部署要求。结合呈贡实际及时落实疫情防控医疗保障相关政策规定，确保患者不因费用问题影响及时就医，确保定点医疗机构不因支付政策影响救治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2）进一步发挥好医保扶贫托底功能。加强与扶贫、税务、财政部门协调联动，实现参保信息实时推送和共享，坚决做到建档立卡贫困人口参保动态清零、悉数入库，确保不漏一人。严格执行健康扶贫30条医保政策措施，保持政策延续性和稳定性，确保各项待遇按规、及时、足额兑现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（3）进一步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提升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医疗保障公共服务能力、效率及便民服务水平。为进一步提高广大居民群众对医保电子凭证和“信用就医”的知晓率和使用率,结合呈贡实际及时落实医疗保障相关政策规定，全面压实工作责任,持续推进电子医保凭证激活和“信用就医”两项硬指标工作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（4）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进一步加强基金监管力度。持续巩固基金监管高压态势，利用专业的第三方监管和线上监管平台，强化医保基金预算刚性管理和预算执行进度管理，提高基金收支预算执行进度的精准性。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）进一步推动改革创新工作。继续深化支付方式改革，深入推进DRG付费国家试点，完善总额控制、考核付费、单病种结算、日间手术等结算办法，不断健全完善复合型付费制度。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）进一步优化医疗保障制度。进一步完善贯彻执行城乡居民基本医疗保险制度、大病保险制度、医疗救助制度。按步骤有序推进医保 “十四五”规划各项目落到实处。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（7）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进一步夯实工作基础。继续全面实施全民参保计划，确保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2022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年底呈贡区职工和居民医疗保险参保覆盖率稳定在97%以上。继续贯彻落实好异地就医相关政策，为参保人员提供更便捷的异地就医服务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2.预决算公开方面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2022年度我局分别在呈贡政务网和云南省财政厅门户网对2022年预算按时公开，2021年年终决算按时公开。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绩效评价方面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我局分别对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2022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年一季度、二季度、三季度、四季度执行进度及年度终了后全年资金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进行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绩效评价，详细评价考核各项明细绩效指标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4.存量资金方面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我局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年末结转结余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资金余额为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0，无存量资金。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5.资产管理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截止2022年12月31日，我局资产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总额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2406.23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万元，其中，流动资产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2351.96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万元，固定资产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净值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54.27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6.三公经费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2022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，我局无公务用车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无出国（境）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安排，年初预算三公经费0元，其中公务用车运行维护费预算0元，车辆0张，接待费用预算0元；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2022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年三公经费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实际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执行0元，车辆运行维护费0元，无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公务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接待费用，无出国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（境）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经费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（三）部门整体支出或项目实施情况分析。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整体支出进度良好，年初预算资金按进度完成，增加市级转移支付资金，全部使用完成。资金按月梳理，每周会议通报与协调解决项目使用情况，项目遇到的各种问题，保证有效的执行，分管领导针对各自管理的项目积极，随时参与，问题及时解决，不托延，不滞留，取得了比较好的效果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资金使用按月申请用款计划，由区政府审批及财政审批后申请用款额度，同时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元以上的项目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须上局党组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会讨论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同意、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手续齐全后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方可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支付。项目组织由谁预算谁组织的原则开展项目，验收合格后支付，同时检验项目后续实施效果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二、绩效评价工作情况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绩效评价目的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我局绩效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是为了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梳理资金、及时掌握资金进度，找出问题、解决问题、保质完成年度绩效目标，分享经验、科学合理使用资金，让资金产生最大效益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二）绩效评价工作过程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局前期成立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绩效评价小组，从年度预算项目预算精确到科室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到个人，预算动员会开始知会并告知预算的合理重要性，对年度目标有清晰的规划，合理安排预算资金，保障项目在年度内有效完成，主张谁预算谁组织、谁实施的原则，在规定时限内，结合区委区政府最新政策制度要求开展实施，并形成单项验收，事后回访机制，形成书面分析报告归档立案，并进一步进行绩效评价分析，为下一年度工作开展作充分准备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三、主要绩效及评价结论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经济性分析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局是医疗保障为主体的部门，所有资金根据实际医疗救助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医疗保障需求开支，保障老百姓基本医疗需求，资金成本按需供给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按标准及相关要求及时足额拨付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效率性分析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机构监管方面，2022年我局对区内33家定点医疗机构，开展实地稽核46次，对50家定点药店完成实地核查。存在违规问题的定点医疗机构17家，涉及扣款6家，追回定点机构违规费用14.52万元，责令整改11家，暂停医保系统1家，约谈35家。实地检查率达到100%。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资助参保方面，我局积极推进特殊人群资助参保工作。全额资助2485人，其中重点救助对象1271人（孤儿18人，特困供养对象24人，乡村振兴监测范围1029人，低保对象169人），重度残疾人员1214人，共资助79.52万元，实现重点人群参保率100％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（三）效益性分析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2022年我局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积极探索实施以“总额付费，监督考核，结余留用，合理超支分担”为原则的打包付费支付方式。落实药品及耗材集中采购，共采购药品7批次，耗材10批次。进一步完善医保系统，持续推进接口改造工作，提升医保基金使用成效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，2022年，我局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两定医疗机构接口改造完成100%。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我局不断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巩固拓展脱贫攻坚成果同乡村振兴有效衔接，建立防范化解因病返贫致贫长效机制。统筹发挥基本医保、大病保险、医疗救助三重保障制度综合梯次减负功能，加强与乡村振兴局信息沟通，坚持每月共享困难人群就医信息，为动态监测新识别人群提供依据，确保困难群众实行政府兜底保障，享受相关医疗保障待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（一）基金监管手段单一。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由于医保系统不稳定，门诊统筹监管难度大，涉及人群范围广、链条长、情况复杂，冒名就医、虚构就诊信息、囤卡、压卡套取医保基金手段隐蔽，造成基金监管缺乏抓手，难以形成有效的处罚震慑力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594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（二）医保信息系统有待进一步改进升级。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现有医保信息系统不能与民政系统互联共享，部分救助对象在就医时不能识别身份待遇类别，造成在实施医疗救助过程中无法进行“一站式”即时结算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）缺少医学专业人员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医保的工作业务中，无论是审核、稽核还是基金监管工作，除了掌握医保政策以外，还需要专业的医学知识作为基础，才能更好的开展审核、稽核工作，但是我局目前的人员构架中，医学专业人员非常少，给基金监管工作带来了很大的难度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五、有关建议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建议加强对财务人员的业务培训，组织单位领导及财务人员认真学习与本职工作相关的法律、法规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及相关政策法规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，提高单位领导对预算管理的重视度，增强财务人员的预算意识，提高财务人员的业务水平和政治觉悟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无。</w:t>
      </w:r>
    </w:p>
    <w:p>
      <w:pPr>
        <w:pStyle w:val="2"/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60" w:lineRule="exact"/>
        <w:ind w:firstLine="4752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昆明市呈贡区医疗保障局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2023年3月31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91DAEC-27A3-45B3-9483-226E9DFCA3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CFE2A0-5597-43FF-B310-032BEE1C4F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0066F48-3A53-484F-ADE4-49E86818907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ACCBF8F-55BC-475A-9256-45289B5C489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5652389-AC37-4042-8D94-529F744A8B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jYzYjI1Y2QyZWJmZGM3ODVkNmVjYjRhNzM5MmIifQ=="/>
  </w:docVars>
  <w:rsids>
    <w:rsidRoot w:val="00000000"/>
    <w:rsid w:val="08C7672E"/>
    <w:rsid w:val="1A055A28"/>
    <w:rsid w:val="1D11601A"/>
    <w:rsid w:val="40B2169B"/>
    <w:rsid w:val="411B32C9"/>
    <w:rsid w:val="4944592C"/>
    <w:rsid w:val="67B010B2"/>
    <w:rsid w:val="6CE07597"/>
    <w:rsid w:val="6DBE2E6B"/>
    <w:rsid w:val="76F53C3E"/>
    <w:rsid w:val="794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hint="eastAsia" w:ascii="方正小标宋简体" w:hAnsi="方正小标宋简体" w:eastAsia="方正小标宋简体" w:cs="Times New Roman"/>
      <w:kern w:val="44"/>
      <w:sz w:val="44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20"/>
    </w:rPr>
  </w:style>
  <w:style w:type="paragraph" w:styleId="5">
    <w:name w:val="Body Text"/>
    <w:basedOn w:val="1"/>
    <w:unhideWhenUsed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3050</Words>
  <Characters>3239</Characters>
  <Lines>0</Lines>
  <Paragraphs>0</Paragraphs>
  <TotalTime>1</TotalTime>
  <ScaleCrop>false</ScaleCrop>
  <LinksUpToDate>false</LinksUpToDate>
  <CharactersWithSpaces>3271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张颖</cp:lastModifiedBy>
  <dcterms:modified xsi:type="dcterms:W3CDTF">2023-03-31T03:37:16Z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C53A54849C2841C3901FF4EAECD542E3_13</vt:lpwstr>
  </property>
</Properties>
</file>