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hint="eastAsia" w:ascii="黑体" w:eastAsia="黑体"/>
          <w:szCs w:val="32"/>
        </w:rPr>
      </w:pPr>
    </w:p>
    <w:p>
      <w:pPr>
        <w:spacing w:line="560" w:lineRule="exact"/>
        <w:jc w:val="center"/>
        <w:rPr>
          <w:rFonts w:ascii="黑体" w:eastAsia="黑体"/>
          <w:szCs w:val="32"/>
        </w:rPr>
      </w:pPr>
      <w:r>
        <w:rPr>
          <w:rFonts w:hint="eastAsia" w:ascii="方正小标宋简体" w:hAnsi="方正小标宋简体" w:eastAsia="方正小标宋简体" w:cs="方正小标宋简体"/>
          <w:w w:val="98"/>
          <w:sz w:val="44"/>
          <w:szCs w:val="44"/>
        </w:rPr>
        <w:t>昆明市呈贡区机构编制信息管理中心</w:t>
      </w: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2022年</w:t>
      </w:r>
      <w:r>
        <w:rPr>
          <w:rFonts w:hint="default" w:ascii="Times New Roman" w:hAnsi="Times New Roman" w:eastAsia="方正小标宋_GBK" w:cs="Times New Roman"/>
          <w:sz w:val="36"/>
          <w:szCs w:val="36"/>
        </w:rPr>
        <w:t>部门整体支出绩效评价报告</w:t>
      </w:r>
    </w:p>
    <w:p>
      <w:pPr>
        <w:spacing w:line="600" w:lineRule="exact"/>
        <w:jc w:val="center"/>
        <w:rPr>
          <w:rFonts w:hint="eastAsia" w:ascii="方正小标宋_GBK" w:eastAsia="方正小标宋_GBK"/>
          <w:sz w:val="36"/>
          <w:szCs w:val="36"/>
        </w:rPr>
      </w:pPr>
    </w:p>
    <w:p>
      <w:pPr>
        <w:topLinePunct/>
        <w:spacing w:line="560" w:lineRule="exact"/>
        <w:ind w:firstLine="594" w:firstLineChars="200"/>
        <w:rPr>
          <w:rFonts w:hint="default" w:ascii="Times New Roman" w:hAnsi="Times New Roman" w:cs="Times New Roman"/>
          <w:b/>
          <w:szCs w:val="32"/>
        </w:rPr>
      </w:pPr>
      <w:r>
        <w:rPr>
          <w:rFonts w:hint="default" w:ascii="Times New Roman" w:hAnsi="Times New Roman" w:cs="Times New Roman"/>
          <w:szCs w:val="32"/>
        </w:rPr>
        <w:t>为加强财政支出管理，提高财政资金使用效益，根据呈贡区财政局《关于对202</w:t>
      </w:r>
      <w:r>
        <w:rPr>
          <w:rFonts w:hint="default" w:ascii="Times New Roman" w:hAnsi="Times New Roman" w:cs="Times New Roman"/>
          <w:szCs w:val="32"/>
          <w:lang w:val="en-US" w:eastAsia="zh-CN"/>
        </w:rPr>
        <w:t>2</w:t>
      </w:r>
      <w:r>
        <w:rPr>
          <w:rFonts w:hint="default" w:ascii="Times New Roman" w:hAnsi="Times New Roman" w:cs="Times New Roman"/>
          <w:szCs w:val="32"/>
        </w:rPr>
        <w:t>年度预算支出开展绩效自评工作的通知》要求，我单位对202</w:t>
      </w:r>
      <w:r>
        <w:rPr>
          <w:rFonts w:hint="default" w:ascii="Times New Roman" w:hAnsi="Times New Roman" w:cs="Times New Roman"/>
          <w:szCs w:val="32"/>
          <w:lang w:val="en-US" w:eastAsia="zh-CN"/>
        </w:rPr>
        <w:t>2</w:t>
      </w:r>
      <w:r>
        <w:rPr>
          <w:rFonts w:hint="default" w:ascii="Times New Roman" w:hAnsi="Times New Roman" w:cs="Times New Roman"/>
          <w:szCs w:val="32"/>
        </w:rPr>
        <w:t>年整体支出绩效进行了全面自评，现将自评情况报告如下。</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一、基本情况</w:t>
      </w:r>
    </w:p>
    <w:p>
      <w:pPr>
        <w:snapToGrid w:val="0"/>
        <w:spacing w:line="560" w:lineRule="exact"/>
        <w:ind w:firstLine="594" w:firstLineChars="200"/>
        <w:rPr>
          <w:rFonts w:hint="default" w:ascii="Times New Roman" w:hAnsi="Times New Roman" w:eastAsia="楷体" w:cs="Times New Roman"/>
          <w:szCs w:val="32"/>
          <w:lang w:val="en-US" w:eastAsia="zh-CN"/>
        </w:rPr>
      </w:pPr>
      <w:r>
        <w:rPr>
          <w:rFonts w:hint="default" w:ascii="Times New Roman" w:hAnsi="Times New Roman" w:eastAsia="楷体" w:cs="Times New Roman"/>
          <w:szCs w:val="32"/>
        </w:rPr>
        <w:t>（一）部门整体支出概</w:t>
      </w:r>
      <w:r>
        <w:rPr>
          <w:rFonts w:hint="default" w:ascii="Times New Roman" w:hAnsi="Times New Roman" w:eastAsia="楷体" w:cs="Times New Roman"/>
          <w:szCs w:val="32"/>
          <w:lang w:val="en-US" w:eastAsia="zh-CN"/>
        </w:rPr>
        <w:t>.</w:t>
      </w:r>
    </w:p>
    <w:p>
      <w:pPr>
        <w:snapToGrid w:val="0"/>
        <w:spacing w:line="560" w:lineRule="exact"/>
        <w:ind w:firstLine="594" w:firstLineChars="200"/>
        <w:rPr>
          <w:rFonts w:hint="default" w:ascii="Times New Roman" w:hAnsi="Times New Roman" w:eastAsia="仿宋_GB2312" w:cs="Times New Roman"/>
          <w:sz w:val="32"/>
          <w:szCs w:val="32"/>
        </w:rPr>
      </w:pPr>
      <w:r>
        <w:rPr>
          <w:rFonts w:hint="default" w:ascii="Times New Roman" w:hAnsi="Times New Roman" w:cs="Times New Roman"/>
          <w:szCs w:val="32"/>
        </w:rPr>
        <w:t>况</w:t>
      </w:r>
      <w:bookmarkStart w:id="0" w:name="_Hlk126581487"/>
      <w:r>
        <w:rPr>
          <w:rFonts w:hint="default" w:ascii="Times New Roman" w:hAnsi="Times New Roman" w:eastAsia="仿宋_GB2312" w:cs="Times New Roman"/>
          <w:sz w:val="32"/>
          <w:szCs w:val="32"/>
        </w:rPr>
        <w:t>2022年单位收入年初预算119.97万元，2021年单位收入年初预算86.12万元，本年比上年增加33.86万元，主要是2022年根据单位实际情况，增加日常公用经费。</w:t>
      </w:r>
    </w:p>
    <w:p>
      <w:pPr>
        <w:snapToGrid w:val="0"/>
        <w:spacing w:line="560" w:lineRule="exact"/>
        <w:ind w:firstLine="59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2022年单位支出年初预算119.97万元，2021年单位收入年初预算86.12万元，本年比上年增加33.86万元，主要是2022年根据单位实际情况，增加日常公用经费。</w:t>
      </w:r>
      <w:bookmarkEnd w:id="0"/>
    </w:p>
    <w:p>
      <w:pPr>
        <w:snapToGrid w:val="0"/>
        <w:spacing w:line="520" w:lineRule="exact"/>
        <w:ind w:firstLine="594"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（二）收入支出预算执行情况。</w:t>
      </w:r>
    </w:p>
    <w:p>
      <w:pPr>
        <w:snapToGrid w:val="0"/>
        <w:spacing w:line="520" w:lineRule="exact"/>
        <w:ind w:firstLine="594"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1．收入支出与预算对比分析。</w:t>
      </w:r>
    </w:p>
    <w:p>
      <w:pPr>
        <w:snapToGrid w:val="0"/>
        <w:spacing w:line="520" w:lineRule="exact"/>
        <w:ind w:firstLine="59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（1）预、决算差异情况。</w:t>
      </w:r>
    </w:p>
    <w:tbl>
      <w:tblPr>
        <w:tblStyle w:val="3"/>
        <w:tblW w:w="8320" w:type="dxa"/>
        <w:tblInd w:w="108" w:type="dxa"/>
        <w:tblLayout w:type="autofit"/>
        <w:tblCellMar>
          <w:top w:w="0" w:type="dxa"/>
          <w:left w:w="108" w:type="dxa"/>
          <w:bottom w:w="0" w:type="dxa"/>
          <w:right w:w="108" w:type="dxa"/>
        </w:tblCellMar>
      </w:tblPr>
      <w:tblGrid>
        <w:gridCol w:w="4121"/>
        <w:gridCol w:w="1609"/>
        <w:gridCol w:w="1609"/>
        <w:gridCol w:w="981"/>
      </w:tblGrid>
      <w:tr>
        <w:tblPrEx>
          <w:tblCellMar>
            <w:top w:w="0" w:type="dxa"/>
            <w:left w:w="108" w:type="dxa"/>
            <w:bottom w:w="0" w:type="dxa"/>
            <w:right w:w="108" w:type="dxa"/>
          </w:tblCellMar>
        </w:tblPrEx>
        <w:trPr>
          <w:trHeight w:val="499" w:hRule="atLeast"/>
        </w:trPr>
        <w:tc>
          <w:tcPr>
            <w:tcW w:w="8320"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4"/>
              </w:rPr>
            </w:pPr>
            <w:bookmarkStart w:id="1" w:name="_Hlk126581788"/>
            <w:r>
              <w:rPr>
                <w:rFonts w:hint="default" w:ascii="Times New Roman" w:hAnsi="Times New Roman" w:cs="Times New Roman"/>
                <w:kern w:val="0"/>
                <w:sz w:val="24"/>
              </w:rPr>
              <w:t xml:space="preserve">             收入预、决算对比分析评价表                   单位:万元</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项目(按支出性质和经济分类)</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年初预算数</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全年决算数</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增减额</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一、基本支出</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119.97</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95.76</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-23.32</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人员经费</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113.10</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90.13</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-21.36</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公用经费</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6.88</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5.62</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-1.96</w:t>
            </w:r>
          </w:p>
        </w:tc>
      </w:tr>
      <w:tr>
        <w:tblPrEx>
          <w:tblCellMar>
            <w:top w:w="0" w:type="dxa"/>
            <w:left w:w="108" w:type="dxa"/>
            <w:bottom w:w="0" w:type="dxa"/>
            <w:right w:w="108" w:type="dxa"/>
          </w:tblCellMar>
        </w:tblPrEx>
        <w:trPr>
          <w:trHeight w:val="499" w:hRule="atLeast"/>
        </w:trPr>
        <w:tc>
          <w:tcPr>
            <w:tcW w:w="8320"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支出预、决算对比分析评价表                   单位:万元</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项目(按支出性质和经济分类)</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年初预算数</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全年决算数</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增减额</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一、基本支出</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119.97</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95.76</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-23.32</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人员经费</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113.10</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90.13</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-21.36</w:t>
            </w:r>
          </w:p>
        </w:tc>
      </w:tr>
      <w:tr>
        <w:tblPrEx>
          <w:tblCellMar>
            <w:top w:w="0" w:type="dxa"/>
            <w:left w:w="108" w:type="dxa"/>
            <w:bottom w:w="0" w:type="dxa"/>
            <w:right w:w="108" w:type="dxa"/>
          </w:tblCellMar>
        </w:tblPrEx>
        <w:trPr>
          <w:trHeight w:val="499" w:hRule="atLeast"/>
        </w:trPr>
        <w:tc>
          <w:tcPr>
            <w:tcW w:w="412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公用经费</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6.88</w:t>
            </w:r>
          </w:p>
        </w:tc>
        <w:tc>
          <w:tcPr>
            <w:tcW w:w="16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5.62</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kern w:val="0"/>
                <w:sz w:val="24"/>
              </w:rPr>
            </w:pPr>
            <w:r>
              <w:rPr>
                <w:rFonts w:hint="default" w:ascii="Times New Roman" w:hAnsi="Times New Roman" w:cs="Times New Roman"/>
                <w:kern w:val="0"/>
                <w:sz w:val="24"/>
              </w:rPr>
              <w:t>-1.96</w:t>
            </w:r>
          </w:p>
        </w:tc>
      </w:tr>
    </w:tbl>
    <w:p>
      <w:pPr>
        <w:snapToGrid w:val="0"/>
        <w:spacing w:line="520" w:lineRule="exact"/>
        <w:ind w:firstLine="59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（2）差异原因分析。</w:t>
      </w:r>
    </w:p>
    <w:p>
      <w:pPr>
        <w:widowControl/>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年初收入支出预算数119.97万元,其中基本支出119.97万元，项目支出0万元，收入支出调整预算数95.76万元，其中基本支出95.76万元，项目支出0万元，年末收入支出预算数比年初减少的主要原因是人员经费减少21.36万元。</w:t>
      </w:r>
    </w:p>
    <w:bookmarkEnd w:id="1"/>
    <w:p>
      <w:pPr>
        <w:snapToGrid w:val="0"/>
        <w:spacing w:line="520" w:lineRule="exact"/>
        <w:ind w:firstLine="594"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2．收入支出结构分析。</w:t>
      </w:r>
    </w:p>
    <w:p>
      <w:pPr>
        <w:snapToGrid w:val="0"/>
        <w:spacing w:line="520" w:lineRule="exact"/>
        <w:ind w:firstLine="594" w:firstLineChars="200"/>
        <w:rPr>
          <w:rFonts w:hint="default" w:ascii="Times New Roman" w:hAnsi="Times New Roman" w:eastAsia="仿宋" w:cs="Times New Roman"/>
          <w:color w:val="000000"/>
          <w:sz w:val="32"/>
          <w:szCs w:val="32"/>
        </w:rPr>
      </w:pPr>
      <w:bookmarkStart w:id="2" w:name="_Hlk126582041"/>
      <w:r>
        <w:rPr>
          <w:rFonts w:hint="default" w:ascii="Times New Roman" w:hAnsi="Times New Roman" w:eastAsia="仿宋_GB2312" w:cs="Times New Roman"/>
          <w:sz w:val="32"/>
          <w:szCs w:val="32"/>
        </w:rPr>
        <w:t>（1）各项收入占总收入的比重，</w:t>
      </w:r>
      <w:r>
        <w:rPr>
          <w:rFonts w:hint="default" w:ascii="Times New Roman" w:hAnsi="Times New Roman" w:eastAsia="仿宋" w:cs="Times New Roman"/>
          <w:color w:val="000000"/>
          <w:sz w:val="32"/>
          <w:szCs w:val="32"/>
        </w:rPr>
        <w:t>2022年财政拨款收入119.97万元 ，其他收入</w:t>
      </w:r>
      <w:r>
        <w:rPr>
          <w:rFonts w:hint="default" w:ascii="Times New Roman" w:hAnsi="Times New Roman" w:eastAsia="仿宋" w:cs="Times New Roman"/>
          <w:bCs/>
          <w:color w:val="000000"/>
          <w:sz w:val="32"/>
          <w:szCs w:val="32"/>
        </w:rPr>
        <w:t>0元</w:t>
      </w:r>
      <w:r>
        <w:rPr>
          <w:rFonts w:hint="default" w:ascii="Times New Roman" w:hAnsi="Times New Roman" w:eastAsia="仿宋" w:cs="Times New Roman"/>
          <w:color w:val="000000"/>
          <w:sz w:val="32"/>
          <w:szCs w:val="32"/>
        </w:rPr>
        <w:t>，具体功能科目收入如下：</w:t>
      </w:r>
    </w:p>
    <w:tbl>
      <w:tblPr>
        <w:tblStyle w:val="3"/>
        <w:tblW w:w="8221" w:type="dxa"/>
        <w:tblInd w:w="113" w:type="dxa"/>
        <w:tblLayout w:type="autofit"/>
        <w:tblCellMar>
          <w:top w:w="0" w:type="dxa"/>
          <w:left w:w="108" w:type="dxa"/>
          <w:bottom w:w="0" w:type="dxa"/>
          <w:right w:w="108" w:type="dxa"/>
        </w:tblCellMar>
      </w:tblPr>
      <w:tblGrid>
        <w:gridCol w:w="5806"/>
        <w:gridCol w:w="1016"/>
        <w:gridCol w:w="1399"/>
      </w:tblGrid>
      <w:tr>
        <w:trPr>
          <w:trHeight w:val="360" w:hRule="atLeast"/>
        </w:trPr>
        <w:tc>
          <w:tcPr>
            <w:tcW w:w="822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财政拨款收入                  （单位：万元）</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项目(按功能分类)</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收入</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比重</w:t>
            </w:r>
          </w:p>
        </w:tc>
      </w:tr>
      <w:tr>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一、一般公共服务支出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75.95</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79.32%</w:t>
            </w:r>
          </w:p>
        </w:tc>
      </w:tr>
      <w:tr>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二、外交支出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三、国防支出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四、公共安全支出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五、教育支出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六、科学技术支出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七、文化旅游体育与传媒支出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八、社会保障和就业支出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7.68</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8.02%</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九、卫生健康支出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3.62</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3.78%</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十、节能环保支出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十一、城乡社区支出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十二、农林水支出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十三、交通运输支出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十四、资源勘探工业信息等支出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0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十五、商业服务业等支出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十六、金融支出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十七、援助其他地区支出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十八、自然资源海洋气象等支出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十九、住房保障支出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8.50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8.88%</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二十、粮油物资储备支出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二十一、国有资本经营预算支出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二十二、灾害防治及应急管理支出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二十三、其他支出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二十四、债务还本支出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二十五、债务付息支出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7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二十六、抗疫特别国债安排的支出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0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合计</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95.76</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100.00%</w:t>
            </w:r>
          </w:p>
        </w:tc>
      </w:tr>
      <w:bookmarkEnd w:id="2"/>
    </w:tbl>
    <w:p>
      <w:pPr>
        <w:keepNext w:val="0"/>
        <w:keepLines w:val="0"/>
        <w:pageBreakBefore w:val="0"/>
        <w:kinsoku/>
        <w:wordWrap/>
        <w:overflowPunct/>
        <w:topLinePunct w:val="0"/>
        <w:autoSpaceDE/>
        <w:autoSpaceDN/>
        <w:bidi w:val="0"/>
        <w:adjustRightInd/>
        <w:snapToGrid w:val="0"/>
        <w:spacing w:line="300" w:lineRule="exact"/>
        <w:ind w:firstLine="594" w:firstLineChars="200"/>
        <w:textAlignment w:val="auto"/>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color w:val="000000"/>
          <w:sz w:val="32"/>
          <w:szCs w:val="32"/>
        </w:rPr>
      </w:pPr>
      <w:bookmarkStart w:id="3" w:name="_Hlk126582224"/>
      <w:r>
        <w:rPr>
          <w:rFonts w:hint="default" w:ascii="Times New Roman" w:hAnsi="Times New Roman" w:eastAsia="仿宋_GB2312" w:cs="Times New Roman"/>
          <w:sz w:val="32"/>
          <w:szCs w:val="32"/>
        </w:rPr>
        <w:t>各项支出占总支出的比重：</w:t>
      </w:r>
      <w:r>
        <w:rPr>
          <w:rFonts w:hint="default" w:ascii="Times New Roman" w:hAnsi="Times New Roman" w:eastAsia="仿宋_GB2312" w:cs="Times New Roman"/>
          <w:color w:val="000000"/>
          <w:sz w:val="32"/>
          <w:szCs w:val="32"/>
        </w:rPr>
        <w:t>2022年财政拨款支出119.97万元 ，其他收入</w:t>
      </w:r>
      <w:r>
        <w:rPr>
          <w:rFonts w:hint="default" w:ascii="Times New Roman" w:hAnsi="Times New Roman" w:eastAsia="仿宋_GB2312" w:cs="Times New Roman"/>
          <w:bCs/>
          <w:color w:val="000000"/>
          <w:sz w:val="32"/>
          <w:szCs w:val="32"/>
        </w:rPr>
        <w:t>0元</w:t>
      </w:r>
      <w:r>
        <w:rPr>
          <w:rFonts w:hint="default" w:ascii="Times New Roman" w:hAnsi="Times New Roman" w:eastAsia="仿宋_GB2312" w:cs="Times New Roman"/>
          <w:color w:val="000000"/>
          <w:sz w:val="32"/>
          <w:szCs w:val="32"/>
        </w:rPr>
        <w:t>，具体功能科目收入如下：</w:t>
      </w:r>
    </w:p>
    <w:tbl>
      <w:tblPr>
        <w:tblStyle w:val="3"/>
        <w:tblW w:w="8221" w:type="dxa"/>
        <w:tblInd w:w="113" w:type="dxa"/>
        <w:tblLayout w:type="autofit"/>
        <w:tblCellMar>
          <w:top w:w="0" w:type="dxa"/>
          <w:left w:w="108" w:type="dxa"/>
          <w:bottom w:w="0" w:type="dxa"/>
          <w:right w:w="108" w:type="dxa"/>
        </w:tblCellMar>
      </w:tblPr>
      <w:tblGrid>
        <w:gridCol w:w="5806"/>
        <w:gridCol w:w="1016"/>
        <w:gridCol w:w="1399"/>
      </w:tblGrid>
      <w:tr>
        <w:tblPrEx>
          <w:tblCellMar>
            <w:top w:w="0" w:type="dxa"/>
            <w:left w:w="108" w:type="dxa"/>
            <w:bottom w:w="0" w:type="dxa"/>
            <w:right w:w="108" w:type="dxa"/>
          </w:tblCellMar>
        </w:tblPrEx>
        <w:trPr>
          <w:trHeight w:val="360" w:hRule="atLeast"/>
        </w:trPr>
        <w:tc>
          <w:tcPr>
            <w:tcW w:w="822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财政拨款支出                  （单位：万元）</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项目(按功能分类)</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支出</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比重</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一、一般公共服务支出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75.95</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79.32%</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二、外交支出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三、国防支出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四、公共安全支出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五、教育支出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六、科学技术支出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七、文化旅游体育与传媒支出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八、社会保障和就业支出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7.68</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8.02%</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九、卫生健康支出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3.62</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3.78%</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十、节能环保支出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十一、城乡社区支出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十二、农林水支出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十三、交通运输支出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6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十四、资源勘探工业信息等支出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0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十五、商业服务业等支出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十六、金融支出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十七、援助其他地区支出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十八、自然资源海洋气象等支出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十九、住房保障支出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8.50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8.88%</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二十、粮油物资储备支出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二十一、国有资本经营预算支出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二十二、灾害防治及应急管理支出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二十三、其他支出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二十四、债务还本支出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28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二十五、债务付息支出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75"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二十六、抗疫特别国债安排的支出</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0.00%</w:t>
            </w:r>
          </w:p>
        </w:tc>
      </w:tr>
      <w:tr>
        <w:tblPrEx>
          <w:tblCellMar>
            <w:top w:w="0" w:type="dxa"/>
            <w:left w:w="108" w:type="dxa"/>
            <w:bottom w:w="0" w:type="dxa"/>
            <w:right w:w="108" w:type="dxa"/>
          </w:tblCellMar>
        </w:tblPrEx>
        <w:trPr>
          <w:trHeight w:val="300" w:hRule="atLeast"/>
        </w:trPr>
        <w:tc>
          <w:tcPr>
            <w:tcW w:w="580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合计</w:t>
            </w:r>
          </w:p>
        </w:tc>
        <w:tc>
          <w:tcPr>
            <w:tcW w:w="1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95.76</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righ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100.00%</w:t>
            </w:r>
          </w:p>
        </w:tc>
      </w:tr>
      <w:bookmarkEnd w:id="3"/>
    </w:tbl>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3．支出按经济分类科目分析。</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（1）“三公”经费支出情况：可进行上下年对比、预决算对比。</w:t>
      </w:r>
      <w:r>
        <w:rPr>
          <w:rFonts w:hint="default" w:ascii="Times New Roman" w:hAnsi="Times New Roman" w:eastAsia="仿宋_GB2312" w:cs="Times New Roman"/>
          <w:color w:val="000000"/>
          <w:sz w:val="32"/>
          <w:szCs w:val="32"/>
        </w:rPr>
        <w:t>分析“三公”经费实物量情况，例如公务用车购置及保有量、因公出国（</w:t>
      </w:r>
      <w:r>
        <w:rPr>
          <w:rFonts w:hint="default" w:ascii="Times New Roman" w:hAnsi="Times New Roman" w:eastAsia="仿宋_GB2312" w:cs="Times New Roman"/>
          <w:sz w:val="32"/>
          <w:szCs w:val="32"/>
        </w:rPr>
        <w:t>境）团组数及人数和公务接待批次及人数等情况与分析。</w:t>
      </w:r>
      <w:r>
        <w:rPr>
          <w:rFonts w:hint="default" w:ascii="Times New Roman" w:hAnsi="Times New Roman" w:eastAsia="仿宋_GB2312" w:cs="Times New Roman"/>
          <w:color w:val="000000"/>
          <w:sz w:val="32"/>
          <w:szCs w:val="32"/>
        </w:rPr>
        <w:t>动用上年结转用于三公经费的情况与原因。</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bookmarkStart w:id="4" w:name="_Hlk126582506"/>
      <w:r>
        <w:rPr>
          <w:rFonts w:hint="default" w:ascii="Times New Roman" w:hAnsi="Times New Roman" w:eastAsia="仿宋_GB2312" w:cs="Times New Roman"/>
          <w:sz w:val="32"/>
          <w:szCs w:val="32"/>
        </w:rPr>
        <w:t>2022年，部门“三公”经费支出为0万元。其中，因公出国（境）费0、公务用车购置及运行费0万元和公务接待费0万元。2021年，部门“三公”经费支出为0万元。其中，因公出国（境）费0万元、公务用车购置及运行费0万元和公务接待费0万元。</w:t>
      </w:r>
    </w:p>
    <w:bookmarkEnd w:id="4"/>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（2）会议费支出情况：可进行上下年对比,人均支出情况分析（可做表、柱图、折线图）。</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bookmarkStart w:id="5" w:name="_Hlk126582532"/>
      <w:r>
        <w:rPr>
          <w:rFonts w:hint="default" w:ascii="Times New Roman" w:hAnsi="Times New Roman" w:eastAsia="仿宋_GB2312" w:cs="Times New Roman"/>
          <w:sz w:val="32"/>
          <w:szCs w:val="32"/>
        </w:rPr>
        <w:t>2022年会议费0元，2021年会议费0元。</w:t>
      </w:r>
    </w:p>
    <w:bookmarkEnd w:id="5"/>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（3）培训费支出情况：可进行上下年对比，人均支出情况分析（可做表、柱图、折线图）。</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bookmarkStart w:id="6" w:name="_Hlk126582552"/>
      <w:r>
        <w:rPr>
          <w:rFonts w:hint="default" w:ascii="Times New Roman" w:hAnsi="Times New Roman" w:eastAsia="仿宋_GB2312" w:cs="Times New Roman"/>
          <w:sz w:val="32"/>
          <w:szCs w:val="32"/>
        </w:rPr>
        <w:t>2022年培训费支出0万元；2021年培训费支出0.11万元。2022年比2021年减少的原因是：疫情原因，减少各类培训项目。</w:t>
      </w:r>
    </w:p>
    <w:bookmarkEnd w:id="6"/>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（4）其他对单位影响较大的支出情况。</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（5）重点经济分类支出中存在的问题及改进措施。</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4.财政拨款收入、支出分析。</w:t>
      </w:r>
    </w:p>
    <w:tbl>
      <w:tblPr>
        <w:tblStyle w:val="3"/>
        <w:tblW w:w="8700" w:type="dxa"/>
        <w:tblInd w:w="108" w:type="dxa"/>
        <w:tblLayout w:type="autofit"/>
        <w:tblCellMar>
          <w:top w:w="0" w:type="dxa"/>
          <w:left w:w="108" w:type="dxa"/>
          <w:bottom w:w="0" w:type="dxa"/>
          <w:right w:w="108" w:type="dxa"/>
        </w:tblCellMar>
      </w:tblPr>
      <w:tblGrid>
        <w:gridCol w:w="1980"/>
        <w:gridCol w:w="1044"/>
        <w:gridCol w:w="1044"/>
        <w:gridCol w:w="1707"/>
        <w:gridCol w:w="1044"/>
        <w:gridCol w:w="1881"/>
      </w:tblGrid>
      <w:tr>
        <w:trPr>
          <w:trHeight w:val="402" w:hRule="atLeast"/>
        </w:trPr>
        <w:tc>
          <w:tcPr>
            <w:tcW w:w="8700" w:type="dxa"/>
            <w:gridSpan w:val="6"/>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hint="default" w:ascii="Times New Roman" w:hAnsi="Times New Roman" w:cs="Times New Roman"/>
                <w:kern w:val="0"/>
                <w:sz w:val="24"/>
              </w:rPr>
            </w:pPr>
            <w:bookmarkStart w:id="7" w:name="_Hlk126582750"/>
            <w:r>
              <w:rPr>
                <w:rFonts w:hint="default" w:ascii="Times New Roman" w:hAnsi="Times New Roman" w:cs="Times New Roman"/>
                <w:kern w:val="0"/>
                <w:sz w:val="24"/>
              </w:rPr>
              <w:t xml:space="preserve">                      2022年收入支出情况表                   单位：万元</w:t>
            </w:r>
          </w:p>
        </w:tc>
      </w:tr>
      <w:tr>
        <w:tblPrEx>
          <w:tblCellMar>
            <w:top w:w="0" w:type="dxa"/>
            <w:left w:w="108" w:type="dxa"/>
            <w:bottom w:w="0" w:type="dxa"/>
            <w:right w:w="108" w:type="dxa"/>
          </w:tblCellMar>
        </w:tblPrEx>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指  标</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本年度</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上年度</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比上年增减</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原因</w:t>
            </w:r>
          </w:p>
        </w:tc>
      </w:tr>
      <w:tr>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1.本年收入</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95.76</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96.56</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-0.81</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-0.84</w:t>
            </w:r>
          </w:p>
        </w:tc>
        <w:tc>
          <w:tcPr>
            <w:tcW w:w="188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本年减少人员经费</w:t>
            </w:r>
          </w:p>
        </w:tc>
      </w:tr>
      <w:tr>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其中：一般公共预算财政拨款</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95.76</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96.56</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-0.81</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-0.84</w:t>
            </w:r>
          </w:p>
        </w:tc>
        <w:tc>
          <w:tcPr>
            <w:tcW w:w="188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本年减少人员经费</w:t>
            </w:r>
          </w:p>
        </w:tc>
      </w:tr>
      <w:tr>
        <w:tblPrEx>
          <w:tblCellMar>
            <w:top w:w="0" w:type="dxa"/>
            <w:left w:w="108" w:type="dxa"/>
            <w:bottom w:w="0" w:type="dxa"/>
            <w:right w:w="108" w:type="dxa"/>
          </w:tblCellMar>
        </w:tblPrEx>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2.本年支出</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95.76</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96.58</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-0.83</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-0.86</w:t>
            </w:r>
          </w:p>
        </w:tc>
        <w:tc>
          <w:tcPr>
            <w:tcW w:w="188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因2022年比2021年增加办公用品、维护费支出</w:t>
            </w:r>
          </w:p>
        </w:tc>
      </w:tr>
      <w:tr>
        <w:tblPrEx>
          <w:tblCellMar>
            <w:top w:w="0" w:type="dxa"/>
            <w:left w:w="108" w:type="dxa"/>
            <w:bottom w:w="0" w:type="dxa"/>
            <w:right w:w="108" w:type="dxa"/>
          </w:tblCellMar>
        </w:tblPrEx>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其中：基本支出</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95.76</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96.58</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-0.83</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-0.86</w:t>
            </w:r>
          </w:p>
        </w:tc>
        <w:tc>
          <w:tcPr>
            <w:tcW w:w="188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因2022年比2021年增加办公用品、维护费支出</w:t>
            </w:r>
          </w:p>
        </w:tc>
      </w:tr>
      <w:tr>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（1）人员经费</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90.13</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92.06</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-1.93</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-2.1</w:t>
            </w:r>
          </w:p>
        </w:tc>
        <w:tc>
          <w:tcPr>
            <w:tcW w:w="188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本年减少人员经费支出</w:t>
            </w:r>
          </w:p>
        </w:tc>
      </w:tr>
      <w:tr>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（2）公用经费</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5.62</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4.52</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1.10</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24.35</w:t>
            </w:r>
          </w:p>
        </w:tc>
        <w:tc>
          <w:tcPr>
            <w:tcW w:w="188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因2022年比2021年增加办公用品、维护费支出</w:t>
            </w:r>
          </w:p>
        </w:tc>
      </w:tr>
      <w:tr>
        <w:trPr>
          <w:trHeight w:val="600" w:hRule="atLeast"/>
        </w:trPr>
        <w:tc>
          <w:tcPr>
            <w:tcW w:w="19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项目支出</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0.00</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0.00</w:t>
            </w:r>
          </w:p>
        </w:tc>
        <w:tc>
          <w:tcPr>
            <w:tcW w:w="170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0.00</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0</w:t>
            </w:r>
          </w:p>
        </w:tc>
        <w:tc>
          <w:tcPr>
            <w:tcW w:w="188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bookmarkEnd w:id="7"/>
    </w:tbl>
    <w:p>
      <w:pPr>
        <w:keepNext w:val="0"/>
        <w:keepLines w:val="0"/>
        <w:pageBreakBefore w:val="0"/>
        <w:widowControl w:val="0"/>
        <w:kinsoku/>
        <w:wordWrap/>
        <w:overflowPunct/>
        <w:topLinePunct w:val="0"/>
        <w:autoSpaceDE/>
        <w:autoSpaceDN/>
        <w:bidi w:val="0"/>
        <w:adjustRightInd/>
        <w:snapToGrid w:val="0"/>
        <w:spacing w:line="500" w:lineRule="exact"/>
        <w:ind w:firstLine="594" w:firstLineChars="200"/>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ind w:firstLine="594"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5.非财政拨款收入分析。</w:t>
      </w:r>
    </w:p>
    <w:p>
      <w:pPr>
        <w:keepNext w:val="0"/>
        <w:keepLines w:val="0"/>
        <w:pageBreakBefore w:val="0"/>
        <w:widowControl w:val="0"/>
        <w:kinsoku/>
        <w:wordWrap/>
        <w:overflowPunct/>
        <w:topLinePunct w:val="0"/>
        <w:autoSpaceDE/>
        <w:autoSpaceDN/>
        <w:bidi w:val="0"/>
        <w:adjustRightInd/>
        <w:snapToGrid w:val="0"/>
        <w:spacing w:line="4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autoSpaceDE/>
        <w:autoSpaceDN/>
        <w:bidi w:val="0"/>
        <w:adjustRightInd/>
        <w:snapToGrid w:val="0"/>
        <w:spacing w:line="400" w:lineRule="exact"/>
        <w:ind w:firstLine="594"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（三）年末结转和结余情况。</w:t>
      </w:r>
    </w:p>
    <w:p>
      <w:pPr>
        <w:keepNext w:val="0"/>
        <w:keepLines w:val="0"/>
        <w:pageBreakBefore w:val="0"/>
        <w:widowControl w:val="0"/>
        <w:kinsoku/>
        <w:wordWrap/>
        <w:overflowPunct/>
        <w:topLinePunct w:val="0"/>
        <w:autoSpaceDE/>
        <w:autoSpaceDN/>
        <w:bidi w:val="0"/>
        <w:adjustRightInd/>
        <w:snapToGrid w:val="0"/>
        <w:spacing w:line="4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autoSpaceDE/>
        <w:autoSpaceDN/>
        <w:bidi w:val="0"/>
        <w:adjustRightInd/>
        <w:snapToGrid w:val="0"/>
        <w:spacing w:line="400" w:lineRule="exact"/>
        <w:ind w:firstLine="594"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（四）与预算支出相关的其他指标分析。</w:t>
      </w:r>
    </w:p>
    <w:p>
      <w:pPr>
        <w:keepNext w:val="0"/>
        <w:keepLines w:val="0"/>
        <w:pageBreakBefore w:val="0"/>
        <w:kinsoku/>
        <w:wordWrap/>
        <w:overflowPunct/>
        <w:topLinePunct w:val="0"/>
        <w:autoSpaceDE/>
        <w:autoSpaceDN/>
        <w:bidi w:val="0"/>
        <w:adjustRightInd/>
        <w:snapToGrid w:val="0"/>
        <w:spacing w:line="30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单位：万元</w:t>
      </w:r>
    </w:p>
    <w:tbl>
      <w:tblPr>
        <w:tblStyle w:val="3"/>
        <w:tblW w:w="9200" w:type="dxa"/>
        <w:tblInd w:w="118" w:type="dxa"/>
        <w:tblLayout w:type="autofit"/>
        <w:tblCellMar>
          <w:top w:w="0" w:type="dxa"/>
          <w:left w:w="108" w:type="dxa"/>
          <w:bottom w:w="0" w:type="dxa"/>
          <w:right w:w="108" w:type="dxa"/>
        </w:tblCellMar>
      </w:tblPr>
      <w:tblGrid>
        <w:gridCol w:w="2260"/>
        <w:gridCol w:w="1740"/>
        <w:gridCol w:w="1300"/>
        <w:gridCol w:w="1480"/>
        <w:gridCol w:w="2420"/>
      </w:tblGrid>
      <w:tr>
        <w:trPr>
          <w:trHeight w:val="702" w:hRule="atLeast"/>
        </w:trPr>
        <w:tc>
          <w:tcPr>
            <w:tcW w:w="226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资 产</w:t>
            </w:r>
          </w:p>
        </w:tc>
        <w:tc>
          <w:tcPr>
            <w:tcW w:w="1740" w:type="dxa"/>
            <w:tcBorders>
              <w:top w:val="single" w:color="000000" w:sz="8" w:space="0"/>
              <w:left w:val="nil"/>
              <w:bottom w:val="single" w:color="000000" w:sz="8" w:space="0"/>
              <w:right w:val="single" w:color="000000" w:sz="8"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期末余额</w:t>
            </w:r>
          </w:p>
        </w:tc>
        <w:tc>
          <w:tcPr>
            <w:tcW w:w="1300" w:type="dxa"/>
            <w:tcBorders>
              <w:top w:val="single" w:color="000000" w:sz="8" w:space="0"/>
              <w:left w:val="nil"/>
              <w:bottom w:val="single" w:color="000000" w:sz="8" w:space="0"/>
              <w:right w:val="single" w:color="000000" w:sz="8"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年初余额</w:t>
            </w:r>
          </w:p>
        </w:tc>
        <w:tc>
          <w:tcPr>
            <w:tcW w:w="1480" w:type="dxa"/>
            <w:tcBorders>
              <w:top w:val="single" w:color="000000" w:sz="8" w:space="0"/>
              <w:left w:val="nil"/>
              <w:bottom w:val="single" w:color="000000" w:sz="8" w:space="0"/>
              <w:right w:val="single" w:color="000000" w:sz="8"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增减</w:t>
            </w:r>
          </w:p>
        </w:tc>
        <w:tc>
          <w:tcPr>
            <w:tcW w:w="2420" w:type="dxa"/>
            <w:tcBorders>
              <w:top w:val="single" w:color="000000" w:sz="8" w:space="0"/>
              <w:left w:val="nil"/>
              <w:bottom w:val="single" w:color="000000" w:sz="8"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增减原因</w:t>
            </w:r>
          </w:p>
        </w:tc>
      </w:tr>
      <w:tr>
        <w:tblPrEx>
          <w:tblCellMar>
            <w:top w:w="0" w:type="dxa"/>
            <w:left w:w="108" w:type="dxa"/>
            <w:bottom w:w="0" w:type="dxa"/>
            <w:right w:w="108" w:type="dxa"/>
          </w:tblCellMar>
        </w:tblPrEx>
        <w:trPr>
          <w:trHeight w:val="702" w:hRule="atLeast"/>
        </w:trPr>
        <w:tc>
          <w:tcPr>
            <w:tcW w:w="2260" w:type="dxa"/>
            <w:tcBorders>
              <w:top w:val="nil"/>
              <w:left w:val="single" w:color="000000" w:sz="8" w:space="0"/>
              <w:bottom w:val="single" w:color="000000" w:sz="8" w:space="0"/>
              <w:right w:val="single" w:color="000000" w:sz="8"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货币资金</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0.08</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0.77</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-0.69</w:t>
            </w:r>
          </w:p>
        </w:tc>
        <w:tc>
          <w:tcPr>
            <w:tcW w:w="2420" w:type="dxa"/>
            <w:tcBorders>
              <w:top w:val="nil"/>
              <w:left w:val="nil"/>
              <w:bottom w:val="single" w:color="000000" w:sz="8"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因2022年社保基数调增，应付职工薪酬支出增加</w:t>
            </w:r>
          </w:p>
        </w:tc>
      </w:tr>
      <w:tr>
        <w:tblPrEx>
          <w:tblCellMar>
            <w:top w:w="0" w:type="dxa"/>
            <w:left w:w="108" w:type="dxa"/>
            <w:bottom w:w="0" w:type="dxa"/>
            <w:right w:w="108" w:type="dxa"/>
          </w:tblCellMar>
        </w:tblPrEx>
        <w:trPr>
          <w:trHeight w:val="702" w:hRule="atLeast"/>
        </w:trPr>
        <w:tc>
          <w:tcPr>
            <w:tcW w:w="2260" w:type="dxa"/>
            <w:tcBorders>
              <w:top w:val="nil"/>
              <w:left w:val="single" w:color="000000" w:sz="8" w:space="0"/>
              <w:bottom w:val="single" w:color="000000" w:sz="8"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其他应收款净额</w:t>
            </w:r>
          </w:p>
        </w:tc>
        <w:tc>
          <w:tcPr>
            <w:tcW w:w="1740" w:type="dxa"/>
            <w:tcBorders>
              <w:top w:val="single" w:color="000000" w:sz="8" w:space="0"/>
              <w:left w:val="nil"/>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1.47</w:t>
            </w:r>
          </w:p>
        </w:tc>
        <w:tc>
          <w:tcPr>
            <w:tcW w:w="1300" w:type="dxa"/>
            <w:tcBorders>
              <w:top w:val="single" w:color="000000" w:sz="8" w:space="0"/>
              <w:left w:val="nil"/>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-0.064</w:t>
            </w:r>
          </w:p>
        </w:tc>
        <w:tc>
          <w:tcPr>
            <w:tcW w:w="14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1.54</w:t>
            </w:r>
          </w:p>
        </w:tc>
        <w:tc>
          <w:tcPr>
            <w:tcW w:w="2420" w:type="dxa"/>
            <w:tcBorders>
              <w:top w:val="nil"/>
              <w:left w:val="nil"/>
              <w:bottom w:val="single" w:color="000000" w:sz="8"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应收个人社保款增加。</w:t>
            </w:r>
          </w:p>
        </w:tc>
      </w:tr>
      <w:tr>
        <w:tblPrEx>
          <w:tblCellMar>
            <w:top w:w="0" w:type="dxa"/>
            <w:left w:w="108" w:type="dxa"/>
            <w:bottom w:w="0" w:type="dxa"/>
            <w:right w:w="108" w:type="dxa"/>
          </w:tblCellMar>
        </w:tblPrEx>
        <w:trPr>
          <w:trHeight w:val="702" w:hRule="atLeast"/>
        </w:trPr>
        <w:tc>
          <w:tcPr>
            <w:tcW w:w="2260" w:type="dxa"/>
            <w:tcBorders>
              <w:top w:val="nil"/>
              <w:left w:val="single" w:color="000000" w:sz="8" w:space="0"/>
              <w:bottom w:val="single" w:color="000000" w:sz="8"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其他应付款</w:t>
            </w:r>
          </w:p>
        </w:tc>
        <w:tc>
          <w:tcPr>
            <w:tcW w:w="1740"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1.53</w:t>
            </w:r>
          </w:p>
        </w:tc>
        <w:tc>
          <w:tcPr>
            <w:tcW w:w="1300"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0.73</w:t>
            </w:r>
          </w:p>
        </w:tc>
        <w:tc>
          <w:tcPr>
            <w:tcW w:w="14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0.80</w:t>
            </w:r>
          </w:p>
        </w:tc>
        <w:tc>
          <w:tcPr>
            <w:tcW w:w="2420" w:type="dxa"/>
            <w:tcBorders>
              <w:top w:val="nil"/>
              <w:left w:val="nil"/>
              <w:bottom w:val="single" w:color="000000" w:sz="8" w:space="0"/>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因为信息中心银行余额出现负数，现从编办调整0.8万元到信息中心账上，2023年1月调整过来。</w:t>
            </w:r>
          </w:p>
        </w:tc>
      </w:tr>
    </w:tbl>
    <w:p>
      <w:pPr>
        <w:topLinePunct/>
        <w:ind w:firstLine="594" w:firstLineChars="200"/>
        <w:rPr>
          <w:rFonts w:hint="default" w:ascii="Times New Roman" w:hAnsi="Times New Roman" w:eastAsia="楷体" w:cs="Times New Roman"/>
          <w:szCs w:val="32"/>
          <w:lang w:val="en-US" w:eastAsia="zh-CN"/>
        </w:rPr>
      </w:pPr>
      <w:r>
        <w:rPr>
          <w:rFonts w:hint="default" w:ascii="Times New Roman" w:hAnsi="Times New Roman" w:eastAsia="楷体" w:cs="Times New Roman"/>
          <w:szCs w:val="32"/>
        </w:rPr>
        <w:t>（</w:t>
      </w:r>
      <w:r>
        <w:rPr>
          <w:rFonts w:hint="default" w:ascii="Times New Roman" w:hAnsi="Times New Roman" w:eastAsia="楷体" w:cs="Times New Roman"/>
          <w:szCs w:val="32"/>
          <w:lang w:eastAsia="zh-CN"/>
        </w:rPr>
        <w:t>五</w:t>
      </w:r>
      <w:r>
        <w:rPr>
          <w:rFonts w:hint="default" w:ascii="Times New Roman" w:hAnsi="Times New Roman" w:eastAsia="楷体" w:cs="Times New Roman"/>
          <w:szCs w:val="32"/>
        </w:rPr>
        <w:t>）部门整体支出绩效目标</w:t>
      </w:r>
    </w:p>
    <w:p>
      <w:pPr>
        <w:spacing w:line="560" w:lineRule="exact"/>
        <w:ind w:firstLine="594" w:firstLineChars="200"/>
        <w:rPr>
          <w:rFonts w:hint="eastAsia" w:ascii="仿宋_GB2312" w:hAnsi="仿宋_GB2312" w:eastAsia="仿宋_GB2312" w:cs="仿宋_GB2312"/>
          <w:b/>
          <w:bCs/>
        </w:rPr>
      </w:pPr>
      <w:r>
        <w:rPr>
          <w:rFonts w:hint="eastAsia" w:ascii="仿宋_GB2312" w:hAnsi="仿宋_GB2312" w:eastAsia="仿宋_GB2312" w:cs="仿宋_GB2312"/>
          <w:b/>
          <w:bCs/>
        </w:rPr>
        <w:t>1.合理编制预算、决算、绩效信息并及时公开</w:t>
      </w:r>
    </w:p>
    <w:p>
      <w:pPr>
        <w:spacing w:line="560" w:lineRule="exact"/>
        <w:ind w:firstLine="594" w:firstLineChars="200"/>
        <w:rPr>
          <w:rFonts w:hint="default" w:ascii="Times New Roman" w:hAnsi="Times New Roman" w:cs="Times New Roman"/>
          <w:szCs w:val="32"/>
        </w:rPr>
      </w:pPr>
      <w:r>
        <w:rPr>
          <w:rFonts w:hint="default" w:ascii="Times New Roman" w:hAnsi="Times New Roman" w:cs="Times New Roman"/>
          <w:b/>
          <w:szCs w:val="32"/>
        </w:rPr>
        <w:t>一是</w:t>
      </w:r>
      <w:r>
        <w:rPr>
          <w:rFonts w:hint="default" w:ascii="Times New Roman" w:hAnsi="Times New Roman" w:cs="Times New Roman"/>
          <w:szCs w:val="32"/>
        </w:rPr>
        <w:t>结合编办工作实际，召开专题工作会议研究202</w:t>
      </w:r>
      <w:r>
        <w:rPr>
          <w:rFonts w:hint="default" w:ascii="Times New Roman" w:hAnsi="Times New Roman" w:cs="Times New Roman"/>
          <w:szCs w:val="32"/>
          <w:lang w:val="en-US" w:eastAsia="zh-CN"/>
        </w:rPr>
        <w:t>2</w:t>
      </w:r>
      <w:r>
        <w:rPr>
          <w:rFonts w:hint="default" w:ascii="Times New Roman" w:hAnsi="Times New Roman" w:cs="Times New Roman"/>
          <w:szCs w:val="32"/>
        </w:rPr>
        <w:t>年预算资金。由各项目负责人提出初步预算，并细化支出，明确绩效指标。提交预算专题会议研究，集体讨论通过后及时从系统申报202</w:t>
      </w:r>
      <w:r>
        <w:rPr>
          <w:rFonts w:hint="default" w:ascii="Times New Roman" w:hAnsi="Times New Roman" w:cs="Times New Roman"/>
          <w:szCs w:val="32"/>
          <w:lang w:val="en-US" w:eastAsia="zh-CN"/>
        </w:rPr>
        <w:t>2</w:t>
      </w:r>
      <w:r>
        <w:rPr>
          <w:rFonts w:hint="default" w:ascii="Times New Roman" w:hAnsi="Times New Roman" w:cs="Times New Roman"/>
          <w:szCs w:val="32"/>
        </w:rPr>
        <w:t>年基本支出预算、项目支出预算、整体绩效绩效目标和项目绩效目标。</w:t>
      </w:r>
    </w:p>
    <w:p>
      <w:pPr>
        <w:spacing w:line="560" w:lineRule="exact"/>
        <w:ind w:firstLine="594" w:firstLineChars="200"/>
        <w:rPr>
          <w:rFonts w:hint="default" w:ascii="Times New Roman" w:hAnsi="Times New Roman" w:cs="Times New Roman"/>
        </w:rPr>
      </w:pPr>
      <w:r>
        <w:rPr>
          <w:rFonts w:hint="default" w:ascii="Times New Roman" w:hAnsi="Times New Roman" w:cs="Times New Roman"/>
          <w:b/>
          <w:szCs w:val="32"/>
        </w:rPr>
        <w:t>二是</w:t>
      </w:r>
      <w:r>
        <w:rPr>
          <w:rFonts w:hint="default" w:ascii="Times New Roman" w:hAnsi="Times New Roman" w:cs="Times New Roman"/>
          <w:szCs w:val="32"/>
        </w:rPr>
        <w:t>落实预算、决算、绩效公开主体责任。严格按照规定时限、公开内容和格式，</w:t>
      </w:r>
      <w:r>
        <w:rPr>
          <w:rFonts w:hint="default" w:ascii="Times New Roman" w:hAnsi="Times New Roman" w:cs="Times New Roman"/>
          <w:color w:val="000000"/>
          <w:szCs w:val="32"/>
        </w:rPr>
        <w:t>同步在全省预决算监督管理平台网站和政府</w:t>
      </w:r>
      <w:r>
        <w:rPr>
          <w:rFonts w:hint="default" w:ascii="Times New Roman" w:hAnsi="Times New Roman" w:cs="Times New Roman"/>
          <w:szCs w:val="32"/>
        </w:rPr>
        <w:t>门户网站公开部门</w:t>
      </w:r>
      <w:r>
        <w:rPr>
          <w:rFonts w:hint="default" w:ascii="Times New Roman" w:hAnsi="Times New Roman" w:cs="Times New Roman"/>
        </w:rPr>
        <w:t xml:space="preserve">预算、决算信息、绩效自评等财政资金信息。 </w:t>
      </w:r>
    </w:p>
    <w:p>
      <w:pPr>
        <w:spacing w:line="560" w:lineRule="exact"/>
        <w:ind w:firstLine="594" w:firstLineChars="200"/>
        <w:rPr>
          <w:rFonts w:hint="eastAsia" w:ascii="仿宋_GB2312" w:hAnsi="仿宋_GB2312" w:eastAsia="仿宋_GB2312" w:cs="仿宋_GB2312"/>
          <w:b/>
          <w:bCs w:val="0"/>
        </w:rPr>
      </w:pPr>
      <w:r>
        <w:rPr>
          <w:rFonts w:hint="eastAsia" w:ascii="仿宋_GB2312" w:hAnsi="仿宋_GB2312" w:eastAsia="仿宋_GB2312" w:cs="仿宋_GB2312"/>
          <w:b/>
          <w:bCs w:val="0"/>
        </w:rPr>
        <w:t>2.规范国有资产管理</w:t>
      </w:r>
    </w:p>
    <w:p>
      <w:pPr>
        <w:spacing w:line="560" w:lineRule="exact"/>
        <w:ind w:firstLine="582" w:firstLineChars="196"/>
        <w:rPr>
          <w:rFonts w:hint="default" w:ascii="Times New Roman" w:hAnsi="Times New Roman" w:cs="Times New Roman"/>
        </w:rPr>
      </w:pPr>
      <w:r>
        <w:rPr>
          <w:rFonts w:hint="default" w:ascii="Times New Roman" w:hAnsi="Times New Roman" w:cs="Times New Roman"/>
        </w:rPr>
        <w:t>对资产实行“统一领导，归口管理”，由办公室进行固定资产登记、建账、核算和管理，所有固定资产的购买、领用、收回、核销、报废等手续均由办公室负责，政府采购后及时入账并入固定资产管理系统，做到账实相符、账账相符。</w:t>
      </w:r>
    </w:p>
    <w:p>
      <w:pPr>
        <w:spacing w:line="560" w:lineRule="exact"/>
        <w:ind w:firstLine="446" w:firstLineChars="150"/>
        <w:rPr>
          <w:rFonts w:hint="eastAsia" w:ascii="仿宋_GB2312" w:hAnsi="仿宋_GB2312" w:eastAsia="仿宋_GB2312" w:cs="仿宋_GB2312"/>
          <w:b/>
          <w:bCs w:val="0"/>
        </w:rPr>
      </w:pPr>
      <w:r>
        <w:rPr>
          <w:rFonts w:hint="eastAsia" w:ascii="仿宋_GB2312" w:hAnsi="仿宋_GB2312" w:eastAsia="仿宋_GB2312" w:cs="仿宋_GB2312"/>
          <w:b/>
          <w:bCs w:val="0"/>
        </w:rPr>
        <w:t>3.严控三公经费使用</w:t>
      </w:r>
    </w:p>
    <w:p>
      <w:pPr>
        <w:spacing w:line="560" w:lineRule="exact"/>
        <w:ind w:firstLine="594" w:firstLineChars="200"/>
        <w:rPr>
          <w:rFonts w:hint="default" w:ascii="Times New Roman" w:hAnsi="Times New Roman" w:cs="Times New Roman"/>
        </w:rPr>
      </w:pPr>
      <w:r>
        <w:rPr>
          <w:rFonts w:hint="default" w:ascii="Times New Roman" w:hAnsi="Times New Roman" w:cs="Times New Roman"/>
        </w:rPr>
        <w:t xml:space="preserve">严格控制三公经费，及时公开三公经费使用情况。 2021年度，我办无因公出国（境）、公务用车购置及运行费。公务接待严格按照标准执行，无任何高消费、乱消费问题。 </w:t>
      </w:r>
    </w:p>
    <w:p>
      <w:pPr>
        <w:spacing w:line="560" w:lineRule="exact"/>
        <w:ind w:firstLine="582" w:firstLineChars="196"/>
        <w:rPr>
          <w:rFonts w:hint="eastAsia" w:ascii="仿宋_GB2312" w:hAnsi="仿宋_GB2312" w:eastAsia="仿宋_GB2312" w:cs="仿宋_GB2312"/>
          <w:b/>
          <w:bCs/>
        </w:rPr>
      </w:pPr>
      <w:r>
        <w:rPr>
          <w:rFonts w:hint="eastAsia" w:ascii="仿宋_GB2312" w:hAnsi="仿宋_GB2312" w:eastAsia="仿宋_GB2312" w:cs="仿宋_GB2312"/>
          <w:b/>
          <w:bCs/>
        </w:rPr>
        <w:t>4.严格执行财务制度</w:t>
      </w:r>
    </w:p>
    <w:p>
      <w:pPr>
        <w:pStyle w:val="2"/>
        <w:shd w:val="clear" w:color="auto" w:fill="FFFFFF"/>
        <w:spacing w:before="0" w:beforeAutospacing="0" w:after="0" w:afterAutospacing="0" w:line="560" w:lineRule="exact"/>
        <w:ind w:firstLine="594"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认真按照《中华人民共和国预算法》、《中华人民共和国会计法》、《会计基础工作规范》及预算管理、绩效管理、资产管理、内部控制相关规定开展工作，严格遵守《中共昆明市呈贡区委机构编制委员会办公室财务管理制度》，对照资金使用办法和报销流程，严格资金审批使用管理，对符合使用条件的项目，按照相关流程进行拨付使用。实现专款专用，票据专人保管，财务流程清楚。每月汇总整理原始单据经综合科、分管财务领导、主要负责人三级审核签批后才进行财务报销，以保证单位财务会计管理的合法合规，财务报告及数据信息真实性、完整性、规范性。</w:t>
      </w:r>
    </w:p>
    <w:p>
      <w:pPr>
        <w:spacing w:line="560" w:lineRule="exact"/>
        <w:ind w:firstLine="594" w:firstLineChars="200"/>
        <w:rPr>
          <w:rFonts w:hint="eastAsia" w:ascii="仿宋_GB2312" w:hAnsi="仿宋_GB2312" w:eastAsia="仿宋_GB2312" w:cs="仿宋_GB2312"/>
          <w:b/>
          <w:bCs w:val="0"/>
        </w:rPr>
      </w:pPr>
      <w:r>
        <w:rPr>
          <w:rFonts w:hint="eastAsia" w:ascii="仿宋_GB2312" w:hAnsi="仿宋_GB2312" w:eastAsia="仿宋_GB2312" w:cs="仿宋_GB2312"/>
          <w:b/>
          <w:bCs w:val="0"/>
        </w:rPr>
        <w:t>5.持续加强内部控制建设管理</w:t>
      </w:r>
    </w:p>
    <w:p>
      <w:pPr>
        <w:pStyle w:val="5"/>
        <w:spacing w:line="560" w:lineRule="exact"/>
        <w:ind w:firstLine="593"/>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根据《呈贡区行政事业单位内部控制规范实施工作方案》要求，结合工作实际，完善中共昆明市呈贡区委机构编制办公室内部控制规范领导小组，负责内部控制规范有关工作的日常工作，进一步加</w:t>
      </w:r>
      <w:r>
        <w:rPr>
          <w:rFonts w:hint="default" w:ascii="Times New Roman" w:hAnsi="Times New Roman" w:eastAsia="仿宋_GB2312" w:cs="Times New Roman"/>
          <w:spacing w:val="-20"/>
          <w:sz w:val="32"/>
          <w:szCs w:val="32"/>
        </w:rPr>
        <w:t>强经费管理，规范财务报销行为，有效防范经济活动风险。</w:t>
      </w:r>
    </w:p>
    <w:p>
      <w:pPr>
        <w:pStyle w:val="5"/>
        <w:spacing w:line="560" w:lineRule="exact"/>
        <w:ind w:firstLine="60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6.全面推进全过程绩效跟踪管理</w:t>
      </w:r>
    </w:p>
    <w:p>
      <w:pPr>
        <w:pStyle w:val="5"/>
        <w:spacing w:line="560" w:lineRule="exact"/>
        <w:ind w:firstLine="593"/>
        <w:rPr>
          <w:rFonts w:hint="default" w:ascii="Times New Roman" w:hAnsi="Times New Roman" w:cs="Times New Roman"/>
          <w:szCs w:val="32"/>
        </w:rPr>
      </w:pPr>
      <w:r>
        <w:rPr>
          <w:rFonts w:hint="default" w:ascii="Times New Roman" w:hAnsi="Times New Roman" w:eastAsia="仿宋_GB2312" w:cs="Times New Roman"/>
          <w:sz w:val="32"/>
          <w:szCs w:val="32"/>
        </w:rPr>
        <w:t>构建“预算绩效有评估、预算编制有目标、预算执行有监控、预算完成有评价、评价结果有反馈、反馈结果有应用”的全过程绩效管理过程。</w:t>
      </w:r>
    </w:p>
    <w:p>
      <w:pPr>
        <w:pStyle w:val="5"/>
        <w:numPr>
          <w:ilvl w:val="0"/>
          <w:numId w:val="0"/>
        </w:numPr>
        <w:spacing w:line="560" w:lineRule="exact"/>
        <w:ind w:firstLine="594"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部门整体支出或项目实施情况分析</w:t>
      </w:r>
      <w:r>
        <w:rPr>
          <w:rFonts w:hint="eastAsia" w:ascii="Times New Roman" w:hAnsi="Times New Roman" w:eastAsia="仿宋_GB2312" w:cs="Times New Roman"/>
          <w:sz w:val="32"/>
          <w:szCs w:val="32"/>
          <w:lang w:eastAsia="zh-CN"/>
        </w:rPr>
        <w:t>。</w:t>
      </w:r>
    </w:p>
    <w:p>
      <w:pPr>
        <w:pStyle w:val="5"/>
        <w:numPr>
          <w:ilvl w:val="0"/>
          <w:numId w:val="0"/>
        </w:numPr>
        <w:spacing w:line="560" w:lineRule="exa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区财政局关于开展绩效自评的通知要求开展部门整体绩效自评和项目绩效自评工作,不断加强绩效评价结果运用，开展支出预算事前绩效评估，继续进行重点项目绩效目标跟踪监控和事后评价。每季度按时开展项目预算绩效跟踪并按时报送绩效跟踪表和跟踪报告。</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二、绩效评价工作情况</w:t>
      </w:r>
    </w:p>
    <w:p>
      <w:pPr>
        <w:topLinePunct/>
        <w:spacing w:line="560" w:lineRule="exact"/>
        <w:ind w:firstLine="640"/>
        <w:rPr>
          <w:rFonts w:hint="eastAsia" w:ascii="楷体" w:hAnsi="楷体" w:eastAsia="楷体" w:cs="楷体"/>
          <w:color w:val="000000"/>
          <w:kern w:val="0"/>
          <w:shd w:val="clear" w:color="auto" w:fill="FFFFFF"/>
          <w:lang w:eastAsia="zh-CN"/>
        </w:rPr>
      </w:pPr>
      <w:r>
        <w:rPr>
          <w:rFonts w:hint="eastAsia" w:ascii="楷体" w:hAnsi="楷体" w:eastAsia="楷体" w:cs="楷体"/>
          <w:color w:val="000000"/>
          <w:kern w:val="0"/>
          <w:shd w:val="clear" w:color="auto" w:fill="FFFFFF"/>
          <w:lang w:eastAsia="zh-CN"/>
        </w:rPr>
        <w:t>（一）绩效</w:t>
      </w:r>
      <w:bookmarkStart w:id="8" w:name="_GoBack"/>
      <w:bookmarkEnd w:id="8"/>
      <w:r>
        <w:rPr>
          <w:rFonts w:hint="eastAsia" w:ascii="楷体" w:hAnsi="楷体" w:eastAsia="楷体" w:cs="楷体"/>
          <w:color w:val="000000"/>
          <w:kern w:val="0"/>
          <w:shd w:val="clear" w:color="auto" w:fill="FFFFFF"/>
        </w:rPr>
        <w:t>自评的目的</w:t>
      </w:r>
    </w:p>
    <w:p>
      <w:pPr>
        <w:topLinePunct/>
        <w:spacing w:line="560" w:lineRule="exact"/>
        <w:ind w:firstLine="640"/>
        <w:rPr>
          <w:rFonts w:hint="default" w:ascii="Times New Roman" w:hAnsi="Times New Roman" w:eastAsia="黑体" w:cs="Times New Roman"/>
        </w:rPr>
      </w:pPr>
      <w:r>
        <w:rPr>
          <w:rFonts w:hint="default" w:ascii="Times New Roman" w:hAnsi="Times New Roman" w:cs="Times New Roman"/>
          <w:color w:val="000000"/>
          <w:kern w:val="0"/>
          <w:shd w:val="clear" w:color="auto" w:fill="FFFFFF"/>
        </w:rPr>
        <w:t>了解信息中心202</w:t>
      </w:r>
      <w:r>
        <w:rPr>
          <w:rFonts w:hint="default" w:ascii="Times New Roman" w:hAnsi="Times New Roman" w:cs="Times New Roman"/>
          <w:color w:val="000000"/>
          <w:kern w:val="0"/>
          <w:shd w:val="clear" w:color="auto" w:fill="FFFFFF"/>
          <w:lang w:val="en-US" w:eastAsia="zh-CN"/>
        </w:rPr>
        <w:t>2</w:t>
      </w:r>
      <w:r>
        <w:rPr>
          <w:rFonts w:hint="default" w:ascii="Times New Roman" w:hAnsi="Times New Roman" w:cs="Times New Roman"/>
          <w:color w:val="000000"/>
          <w:kern w:val="0"/>
          <w:shd w:val="clear" w:color="auto" w:fill="FFFFFF"/>
        </w:rPr>
        <w:t>年度财政资金预算支出的绩效状况，为今后预算安排提供决策支持。</w:t>
      </w:r>
      <w:r>
        <w:rPr>
          <w:rFonts w:hint="default" w:ascii="Times New Roman" w:hAnsi="Times New Roman" w:cs="Times New Roman"/>
        </w:rPr>
        <w:t>通过运用科学合理的绩效评价指标、评价标准和评价方法，对信息中心202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eastAsia="仿宋" w:cs="Times New Roman"/>
          <w:color w:val="000000" w:themeColor="text1"/>
          <w:szCs w:val="32"/>
          <w:lang w:val="en-US" w:eastAsia="zh-CN"/>
          <w14:textFill>
            <w14:solidFill>
              <w14:schemeClr w14:val="tx1"/>
            </w14:solidFill>
          </w14:textFill>
        </w:rPr>
        <w:t>119.97</w:t>
      </w:r>
      <w:r>
        <w:rPr>
          <w:rFonts w:hint="default" w:ascii="Times New Roman" w:hAnsi="Times New Roman" w:cs="Times New Roman"/>
          <w:color w:val="000000" w:themeColor="text1"/>
          <w14:textFill>
            <w14:solidFill>
              <w14:schemeClr w14:val="tx1"/>
            </w14:solidFill>
          </w14:textFill>
        </w:rPr>
        <w:t>元财</w:t>
      </w:r>
      <w:r>
        <w:rPr>
          <w:rFonts w:hint="default" w:ascii="Times New Roman" w:hAnsi="Times New Roman" w:cs="Times New Roman"/>
          <w:color w:val="000000"/>
        </w:rPr>
        <w:t>政拨款支出的经济性、效率性和效益性进行客观、公正的评价。</w:t>
      </w:r>
      <w:r>
        <w:rPr>
          <w:rFonts w:hint="default" w:ascii="Times New Roman" w:hAnsi="Times New Roman" w:cs="Times New Roman"/>
          <w:color w:val="000000"/>
          <w:kern w:val="0"/>
          <w:shd w:val="clear" w:color="auto" w:fill="FFFFFF"/>
        </w:rPr>
        <w:t>进一步增强支出管理的责任，优化支出结构，提升预算管理水平，保障更好地履行职责，提高公务服务质量和财政资金使用效益。</w:t>
      </w:r>
    </w:p>
    <w:p>
      <w:pPr>
        <w:topLinePunct/>
        <w:spacing w:line="560" w:lineRule="exact"/>
        <w:ind w:firstLine="582" w:firstLineChars="196"/>
        <w:rPr>
          <w:rFonts w:hint="default" w:ascii="Times New Roman" w:hAnsi="Times New Roman" w:cs="Times New Roman"/>
          <w:color w:val="000000"/>
        </w:rPr>
      </w:pPr>
      <w:r>
        <w:rPr>
          <w:rFonts w:hint="default" w:ascii="Times New Roman" w:hAnsi="Times New Roman" w:eastAsia="楷体" w:cs="Times New Roman"/>
        </w:rPr>
        <w:t>（二）绩效评价工作过程</w:t>
      </w:r>
    </w:p>
    <w:p>
      <w:pPr>
        <w:topLinePunct/>
        <w:spacing w:line="560" w:lineRule="exact"/>
        <w:ind w:firstLine="640"/>
        <w:rPr>
          <w:rFonts w:hint="default" w:ascii="Times New Roman" w:hAnsi="Times New Roman" w:cs="Times New Roman"/>
          <w:color w:val="000000"/>
        </w:rPr>
      </w:pPr>
      <w:r>
        <w:rPr>
          <w:rFonts w:hint="default" w:ascii="Times New Roman" w:hAnsi="Times New Roman" w:cs="Times New Roman"/>
          <w:b/>
          <w:bCs/>
          <w:color w:val="000000"/>
        </w:rPr>
        <w:t>1. 前期准备：</w:t>
      </w:r>
      <w:r>
        <w:rPr>
          <w:rFonts w:hint="default" w:ascii="Times New Roman" w:hAnsi="Times New Roman" w:cs="Times New Roman"/>
          <w:color w:val="000000"/>
        </w:rPr>
        <w:t>按照绩效自评工作要求，组成以区委编办主任为组长的绩效评价工作小组，对相关的国家法律法规进行了认真学习，掌握政策，根据部门整体收支情况制定了部门整体支出绩效评价实施方案，设计了绩效评价指标体系表。</w:t>
      </w:r>
    </w:p>
    <w:p>
      <w:pPr>
        <w:topLinePunct/>
        <w:spacing w:line="560" w:lineRule="exact"/>
        <w:ind w:firstLine="640"/>
        <w:rPr>
          <w:rFonts w:hint="default" w:ascii="Times New Roman" w:hAnsi="Times New Roman" w:cs="Times New Roman"/>
          <w:color w:val="000000"/>
        </w:rPr>
      </w:pPr>
      <w:r>
        <w:rPr>
          <w:rFonts w:hint="default" w:ascii="Times New Roman" w:hAnsi="Times New Roman" w:cs="Times New Roman"/>
          <w:b/>
          <w:bCs/>
          <w:color w:val="000000"/>
        </w:rPr>
        <w:t>2. 组织实施：</w:t>
      </w:r>
      <w:r>
        <w:rPr>
          <w:rFonts w:hint="default" w:ascii="Times New Roman" w:hAnsi="Times New Roman" w:cs="Times New Roman"/>
          <w:color w:val="000000"/>
        </w:rPr>
        <w:t>采用</w:t>
      </w:r>
      <w:r>
        <w:rPr>
          <w:rFonts w:hint="default" w:ascii="Times New Roman" w:hAnsi="Times New Roman" w:cs="Times New Roman"/>
          <w:color w:val="000000"/>
          <w:lang w:eastAsia="zh-CN"/>
        </w:rPr>
        <w:t>实地</w:t>
      </w:r>
      <w:r>
        <w:rPr>
          <w:rFonts w:hint="default" w:ascii="Times New Roman" w:hAnsi="Times New Roman" w:cs="Times New Roman"/>
          <w:color w:val="000000"/>
        </w:rPr>
        <w:t>核查法核查</w:t>
      </w:r>
      <w:r>
        <w:rPr>
          <w:rFonts w:hint="default" w:ascii="Times New Roman" w:hAnsi="Times New Roman" w:cs="Times New Roman"/>
          <w:color w:val="000000"/>
          <w:lang w:eastAsia="zh-CN"/>
        </w:rPr>
        <w:t>了</w:t>
      </w:r>
      <w:r>
        <w:rPr>
          <w:rFonts w:hint="default" w:ascii="Times New Roman" w:hAnsi="Times New Roman" w:cs="Times New Roman"/>
          <w:color w:val="000000"/>
        </w:rPr>
        <w:t>202</w:t>
      </w:r>
      <w:r>
        <w:rPr>
          <w:rFonts w:hint="default" w:ascii="Times New Roman" w:hAnsi="Times New Roman" w:cs="Times New Roman"/>
          <w:color w:val="000000"/>
          <w:lang w:val="en-US" w:eastAsia="zh-CN"/>
        </w:rPr>
        <w:t>2</w:t>
      </w:r>
      <w:r>
        <w:rPr>
          <w:rFonts w:hint="default" w:ascii="Times New Roman" w:hAnsi="Times New Roman" w:cs="Times New Roman"/>
          <w:color w:val="000000"/>
        </w:rPr>
        <w:t>年财政预算批复执行</w:t>
      </w:r>
      <w:r>
        <w:rPr>
          <w:rFonts w:hint="default" w:ascii="Times New Roman" w:hAnsi="Times New Roman" w:cs="Times New Roman"/>
          <w:color w:val="000000"/>
          <w:lang w:eastAsia="zh-CN"/>
        </w:rPr>
        <w:t>情况</w:t>
      </w:r>
      <w:r>
        <w:rPr>
          <w:rFonts w:hint="default" w:ascii="Times New Roman" w:hAnsi="Times New Roman" w:cs="Times New Roman"/>
          <w:color w:val="000000"/>
        </w:rPr>
        <w:t>及部门整体支出</w:t>
      </w:r>
      <w:r>
        <w:rPr>
          <w:rFonts w:hint="default" w:ascii="Times New Roman" w:hAnsi="Times New Roman" w:cs="Times New Roman"/>
          <w:color w:val="000000"/>
          <w:lang w:eastAsia="zh-CN"/>
        </w:rPr>
        <w:t>状况</w:t>
      </w:r>
      <w:r>
        <w:rPr>
          <w:rFonts w:hint="default" w:ascii="Times New Roman" w:hAnsi="Times New Roman" w:cs="Times New Roman"/>
          <w:color w:val="000000"/>
        </w:rPr>
        <w:t>，着重核查了“三公”经费及</w:t>
      </w:r>
      <w:r>
        <w:rPr>
          <w:rFonts w:hint="default" w:ascii="Times New Roman" w:hAnsi="Times New Roman" w:cs="Times New Roman"/>
          <w:color w:val="000000"/>
          <w:lang w:eastAsia="zh-CN"/>
        </w:rPr>
        <w:t>国有</w:t>
      </w:r>
      <w:r>
        <w:rPr>
          <w:rFonts w:hint="default" w:ascii="Times New Roman" w:hAnsi="Times New Roman" w:cs="Times New Roman"/>
          <w:color w:val="000000"/>
        </w:rPr>
        <w:t>资产管理、内部控制制度情况，根据部门职能和年初制定的绩效考核目标，进行了实地绩效考评。</w:t>
      </w:r>
    </w:p>
    <w:p>
      <w:pPr>
        <w:topLinePunct/>
        <w:spacing w:line="560" w:lineRule="exact"/>
        <w:ind w:firstLine="640"/>
        <w:rPr>
          <w:rFonts w:hint="default" w:ascii="Times New Roman" w:hAnsi="Times New Roman" w:eastAsia="仿宋_GB2312" w:cs="Times New Roman"/>
          <w:sz w:val="32"/>
          <w:szCs w:val="32"/>
        </w:rPr>
      </w:pPr>
      <w:r>
        <w:rPr>
          <w:rFonts w:hint="default" w:ascii="Times New Roman" w:hAnsi="Times New Roman" w:cs="Times New Roman"/>
          <w:b/>
          <w:bCs/>
          <w:color w:val="000000"/>
        </w:rPr>
        <w:t>3. 分析评价：</w:t>
      </w:r>
      <w:r>
        <w:rPr>
          <w:rFonts w:hint="default" w:ascii="Times New Roman" w:hAnsi="Times New Roman" w:cs="Times New Roman"/>
          <w:color w:val="000000"/>
        </w:rPr>
        <w:t>对项目实施科室报送情况进行核查并开展现场评价工作，对评价过程中收集资料进行归纳，汇总分析，依据设定的部门整体支出绩效评价指标体系进行了评分，形成综合性书面报告。</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三、主要绩效及评价结论</w:t>
      </w:r>
    </w:p>
    <w:p>
      <w:pPr>
        <w:topLinePunct/>
        <w:spacing w:line="560" w:lineRule="exact"/>
        <w:ind w:firstLine="582" w:firstLineChars="196"/>
        <w:rPr>
          <w:rFonts w:hint="default" w:ascii="Times New Roman" w:hAnsi="Times New Roman" w:cs="Times New Roman"/>
          <w:bCs/>
        </w:rPr>
      </w:pPr>
      <w:r>
        <w:rPr>
          <w:rFonts w:hint="default" w:ascii="Times New Roman" w:hAnsi="Times New Roman" w:cs="Times New Roman"/>
          <w:b/>
        </w:rPr>
        <w:t>一是</w:t>
      </w:r>
      <w:r>
        <w:rPr>
          <w:rFonts w:hint="default" w:ascii="Times New Roman" w:hAnsi="Times New Roman" w:cs="Times New Roman"/>
          <w:bCs/>
        </w:rPr>
        <w:t>将绩效评价结果与预算安排有机结合。预算绩效评价结果反馈后，及时督促项目负责人针对评价中发现的问题及时采取措施进行整改，并作为编制年度预算和三年滚动规划、以及资金拨付、预算调整的重要依据。</w:t>
      </w:r>
    </w:p>
    <w:p>
      <w:pPr>
        <w:keepNext w:val="0"/>
        <w:keepLines w:val="0"/>
        <w:pageBreakBefore w:val="0"/>
        <w:widowControl w:val="0"/>
        <w:kinsoku/>
        <w:wordWrap/>
        <w:overflowPunct/>
        <w:topLinePunct/>
        <w:autoSpaceDE/>
        <w:autoSpaceDN/>
        <w:bidi w:val="0"/>
        <w:adjustRightInd/>
        <w:snapToGrid/>
        <w:spacing w:line="560" w:lineRule="exact"/>
        <w:ind w:firstLine="582" w:firstLineChars="196"/>
        <w:textAlignment w:val="auto"/>
        <w:rPr>
          <w:rFonts w:hint="default" w:ascii="Times New Roman" w:hAnsi="Times New Roman" w:cs="Times New Roman"/>
          <w:szCs w:val="32"/>
        </w:rPr>
      </w:pPr>
      <w:r>
        <w:rPr>
          <w:rFonts w:hint="default" w:ascii="Times New Roman" w:hAnsi="Times New Roman" w:cs="Times New Roman"/>
          <w:b/>
          <w:bCs/>
        </w:rPr>
        <w:t>二是</w:t>
      </w:r>
      <w:r>
        <w:rPr>
          <w:rFonts w:hint="default" w:ascii="Times New Roman" w:hAnsi="Times New Roman" w:cs="Times New Roman"/>
          <w:bCs/>
        </w:rPr>
        <w:t>建立绩效评价信息库，将绩效评价相关资料、结论意见整理归档，做好数据分析研究、分类管理和信息共享工作，作为不断加强和改善预算和绩效管理的重要参考。</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存在的问题</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2</w:t>
      </w:r>
      <w:r>
        <w:rPr>
          <w:rFonts w:hint="default" w:ascii="Times New Roman" w:hAnsi="Times New Roman" w:cs="Times New Roman"/>
        </w:rPr>
        <w:t>年度预算绩效评价工作虽取得了一定的成绩，但仍存在对绩效管理、绩效评价经验不足；财务人员专业素质不高等问题。</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eastAsia="黑体" w:cs="Times New Roman"/>
          <w:szCs w:val="32"/>
        </w:rPr>
      </w:pPr>
      <w:r>
        <w:rPr>
          <w:rFonts w:hint="default" w:ascii="Times New Roman" w:hAnsi="Times New Roman" w:cs="Times New Roman"/>
        </w:rPr>
        <w:t>针对上述存在问题，我办高度重视，加强业务培训学习。积极参加财政局组织的相关业务培训，加强理论研究，对绩效评价的意义、目的、方法、技术手段进行认真学习，</w:t>
      </w:r>
      <w:r>
        <w:rPr>
          <w:rFonts w:hint="default" w:ascii="Times New Roman" w:hAnsi="Times New Roman" w:cs="Times New Roman"/>
          <w:lang w:eastAsia="zh-CN"/>
        </w:rPr>
        <w:t>将</w:t>
      </w:r>
      <w:r>
        <w:rPr>
          <w:rFonts w:hint="default" w:ascii="Times New Roman" w:hAnsi="Times New Roman" w:cs="Times New Roman"/>
        </w:rPr>
        <w:t>理论与实践</w:t>
      </w:r>
      <w:r>
        <w:rPr>
          <w:rFonts w:hint="default" w:ascii="Times New Roman" w:hAnsi="Times New Roman" w:cs="Times New Roman"/>
          <w:lang w:eastAsia="zh-CN"/>
        </w:rPr>
        <w:t>结合，</w:t>
      </w:r>
      <w:r>
        <w:rPr>
          <w:rFonts w:hint="default" w:ascii="Times New Roman" w:hAnsi="Times New Roman" w:cs="Times New Roman"/>
        </w:rPr>
        <w:t>不断</w:t>
      </w:r>
      <w:r>
        <w:rPr>
          <w:rFonts w:hint="default" w:ascii="Times New Roman" w:hAnsi="Times New Roman" w:cs="Times New Roman"/>
          <w:lang w:eastAsia="zh-CN"/>
        </w:rPr>
        <w:t>探索新思路、新方法</w:t>
      </w:r>
      <w:r>
        <w:rPr>
          <w:rFonts w:hint="default" w:ascii="Times New Roman" w:hAnsi="Times New Roman" w:cs="Times New Roman"/>
        </w:rPr>
        <w:t xml:space="preserve">。 </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有关建议</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eastAsia="楷体" w:cs="Times New Roman"/>
          <w:bCs/>
        </w:rPr>
        <w:t>（一）科学编制</w:t>
      </w:r>
      <w:r>
        <w:rPr>
          <w:rFonts w:hint="default" w:ascii="Times New Roman" w:hAnsi="Times New Roman" w:eastAsia="楷体" w:cs="Times New Roman"/>
          <w:bCs/>
          <w:lang w:eastAsia="zh-CN"/>
        </w:rPr>
        <w:t>年初</w:t>
      </w:r>
      <w:r>
        <w:rPr>
          <w:rFonts w:hint="default" w:ascii="Times New Roman" w:hAnsi="Times New Roman" w:eastAsia="楷体" w:cs="Times New Roman"/>
          <w:bCs/>
        </w:rPr>
        <w:t>预算，</w:t>
      </w:r>
      <w:r>
        <w:rPr>
          <w:rFonts w:hint="default" w:ascii="Times New Roman" w:hAnsi="Times New Roman" w:eastAsia="楷体" w:cs="Times New Roman"/>
          <w:bCs/>
          <w:lang w:eastAsia="zh-CN"/>
        </w:rPr>
        <w:t>合理设定指标值</w:t>
      </w:r>
      <w:r>
        <w:rPr>
          <w:rFonts w:hint="default" w:ascii="Times New Roman" w:hAnsi="Times New Roman" w:eastAsia="楷体" w:cs="Times New Roman"/>
          <w:bCs/>
        </w:rPr>
        <w:t>。</w:t>
      </w:r>
      <w:r>
        <w:rPr>
          <w:rFonts w:hint="default" w:ascii="Times New Roman" w:hAnsi="Times New Roman" w:cs="Times New Roman"/>
        </w:rPr>
        <w:t>细化预算评价指标，科学合理编制部门预算，推进预算编制科学化、准确化，为绩效评价提供明确的</w:t>
      </w:r>
      <w:r>
        <w:rPr>
          <w:rFonts w:hint="default" w:ascii="Times New Roman" w:hAnsi="Times New Roman" w:cs="Times New Roman"/>
          <w:lang w:eastAsia="zh-CN"/>
        </w:rPr>
        <w:t>、合理的、科学的、可实现的</w:t>
      </w:r>
      <w:r>
        <w:rPr>
          <w:rFonts w:hint="default" w:ascii="Times New Roman" w:hAnsi="Times New Roman" w:cs="Times New Roman"/>
        </w:rPr>
        <w:t>数量指标、质量指标、时效指标、成本指标。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eastAsia="楷体" w:cs="Times New Roman"/>
          <w:bCs/>
        </w:rPr>
        <w:t>（二）提高</w:t>
      </w:r>
      <w:r>
        <w:rPr>
          <w:rFonts w:hint="default" w:ascii="Times New Roman" w:hAnsi="Times New Roman" w:eastAsia="楷体" w:cs="Times New Roman"/>
          <w:bCs/>
          <w:lang w:eastAsia="zh-CN"/>
        </w:rPr>
        <w:t>对</w:t>
      </w:r>
      <w:r>
        <w:rPr>
          <w:rFonts w:hint="default" w:ascii="Times New Roman" w:hAnsi="Times New Roman" w:eastAsia="楷体" w:cs="Times New Roman"/>
          <w:bCs/>
        </w:rPr>
        <w:t>绩效评价</w:t>
      </w:r>
      <w:r>
        <w:rPr>
          <w:rFonts w:hint="default" w:ascii="Times New Roman" w:hAnsi="Times New Roman" w:eastAsia="楷体" w:cs="Times New Roman"/>
          <w:bCs/>
          <w:lang w:eastAsia="zh-CN"/>
        </w:rPr>
        <w:t>工作的</w:t>
      </w:r>
      <w:r>
        <w:rPr>
          <w:rFonts w:hint="default" w:ascii="Times New Roman" w:hAnsi="Times New Roman" w:eastAsia="楷体" w:cs="Times New Roman"/>
          <w:bCs/>
        </w:rPr>
        <w:t>认识，</w:t>
      </w:r>
      <w:r>
        <w:rPr>
          <w:rFonts w:hint="default" w:ascii="Times New Roman" w:hAnsi="Times New Roman" w:eastAsia="楷体" w:cs="Times New Roman"/>
          <w:bCs/>
          <w:lang w:eastAsia="zh-CN"/>
        </w:rPr>
        <w:t>高度</w:t>
      </w:r>
      <w:r>
        <w:rPr>
          <w:rFonts w:hint="default" w:ascii="Times New Roman" w:hAnsi="Times New Roman" w:eastAsia="楷体" w:cs="Times New Roman"/>
          <w:bCs/>
        </w:rPr>
        <w:t>重视绩效管理工作。</w:t>
      </w:r>
      <w:r>
        <w:rPr>
          <w:rFonts w:hint="default" w:ascii="Times New Roman" w:hAnsi="Times New Roman" w:cs="Times New Roman"/>
        </w:rPr>
        <w:t>打破“重投入、轻产出”的粗放式发展理念和管理模式，牢固树立绩效管理观念，把绩效管理贯穿预算编制、执行和监督的始终。</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color w:val="000000"/>
        </w:rPr>
      </w:pPr>
      <w:r>
        <w:rPr>
          <w:rFonts w:hint="default" w:ascii="Times New Roman" w:hAnsi="Times New Roman" w:eastAsia="楷体" w:cs="Times New Roman"/>
          <w:bCs/>
        </w:rPr>
        <w:t>（三）进一步完善绩效评价制度建设。</w:t>
      </w:r>
      <w:r>
        <w:rPr>
          <w:rFonts w:hint="default" w:ascii="Times New Roman" w:hAnsi="Times New Roman" w:cs="Times New Roman"/>
          <w:color w:val="000000"/>
        </w:rPr>
        <w:t>建立预算编制有目标、预算执行有监控、预算完成有评价、评价结果</w:t>
      </w:r>
      <w:r>
        <w:rPr>
          <w:rFonts w:hint="default" w:ascii="Times New Roman" w:hAnsi="Times New Roman" w:cs="Times New Roman"/>
          <w:color w:val="000000"/>
          <w:lang w:eastAsia="zh-CN"/>
        </w:rPr>
        <w:t>有</w:t>
      </w:r>
      <w:r>
        <w:rPr>
          <w:rFonts w:hint="default" w:ascii="Times New Roman" w:hAnsi="Times New Roman" w:cs="Times New Roman"/>
          <w:color w:val="000000"/>
        </w:rPr>
        <w:t>反馈的、反馈结果又运用的全过程绩效管理机制，确立以绩效目标为导向、绩效评价为核心、制度建设为保证的预算支出绩效评价制度。</w:t>
      </w:r>
    </w:p>
    <w:p>
      <w:pPr>
        <w:topLinePunct/>
        <w:spacing w:line="560" w:lineRule="exact"/>
        <w:ind w:firstLine="582" w:firstLineChars="196"/>
        <w:rPr>
          <w:rFonts w:hint="default" w:ascii="Times New Roman" w:hAnsi="Times New Roman" w:cs="Times New Roman"/>
        </w:rPr>
      </w:pPr>
      <w:r>
        <w:rPr>
          <w:rFonts w:hint="default" w:ascii="Times New Roman" w:hAnsi="Times New Roman" w:eastAsia="楷体" w:cs="Times New Roman"/>
        </w:rPr>
        <w:t>（四）</w:t>
      </w:r>
      <w:r>
        <w:rPr>
          <w:rFonts w:hint="default" w:ascii="Times New Roman" w:hAnsi="Times New Roman" w:eastAsia="楷体" w:cs="Times New Roman"/>
          <w:bCs/>
        </w:rPr>
        <w:t>探索引入第三方参与。</w:t>
      </w:r>
      <w:r>
        <w:rPr>
          <w:rFonts w:hint="default" w:ascii="Times New Roman" w:hAnsi="Times New Roman" w:cs="Times New Roman"/>
        </w:rPr>
        <w:t>积极探索财政、审计、</w:t>
      </w:r>
      <w:r>
        <w:rPr>
          <w:rFonts w:hint="default" w:ascii="Times New Roman" w:hAnsi="Times New Roman" w:cs="Times New Roman"/>
          <w:lang w:eastAsia="zh-CN"/>
        </w:rPr>
        <w:t>纪委</w:t>
      </w:r>
      <w:r>
        <w:rPr>
          <w:rFonts w:hint="default" w:ascii="Times New Roman" w:hAnsi="Times New Roman" w:cs="Times New Roman"/>
        </w:rPr>
        <w:t>、社会中介等第三方机构参与，结合部门实际情况，研究制定更为完善、科学的评价指标体系，促使绩效评价工作向纵深发展。</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仿宋_GB2312" w:cs="Times New Roman"/>
          <w:szCs w:val="32"/>
          <w:lang w:eastAsia="zh-CN"/>
        </w:rPr>
        <w:t>无</w:t>
      </w:r>
    </w:p>
    <w:p>
      <w:pPr>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4A8EA"/>
    <w:multiLevelType w:val="singleLevel"/>
    <w:tmpl w:val="6D04A8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796C"/>
    <w:rsid w:val="1A055A28"/>
    <w:rsid w:val="40B2169B"/>
    <w:rsid w:val="411B32C9"/>
    <w:rsid w:val="5A2E3CEB"/>
    <w:rsid w:val="6DBE2E6B"/>
    <w:rsid w:val="7F18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p15"/>
    <w:basedOn w:val="1"/>
    <w:semiHidden/>
    <w:qFormat/>
    <w:uiPriority w:val="0"/>
    <w:pPr>
      <w:widowControl/>
      <w:ind w:firstLine="420"/>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2023-04-07T09:16:08Z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