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3-2</w:t>
      </w:r>
      <w:r>
        <w:rPr>
          <w:rFonts w:hint="eastAsia" w:ascii="黑体" w:eastAsia="黑体"/>
          <w:szCs w:val="32"/>
        </w:rPr>
        <w:t>：</w:t>
      </w:r>
    </w:p>
    <w:p>
      <w:pPr>
        <w:pStyle w:val="2"/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中共昆明市呈贡区委机构编制委员会办公室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2022年</w:t>
      </w:r>
      <w:r>
        <w:rPr>
          <w:rFonts w:hint="eastAsia" w:ascii="方正小标宋_GBK" w:eastAsia="方正小标宋_GBK"/>
          <w:sz w:val="36"/>
          <w:szCs w:val="36"/>
        </w:rPr>
        <w:t>部门整体支出绩效评价报告</w:t>
      </w:r>
    </w:p>
    <w:p>
      <w:pPr>
        <w:pStyle w:val="2"/>
        <w:rPr>
          <w:rFonts w:hint="eastAsia"/>
        </w:rPr>
      </w:pPr>
    </w:p>
    <w:p>
      <w:pPr>
        <w:topLinePunct/>
        <w:spacing w:line="560" w:lineRule="exact"/>
        <w:ind w:firstLine="594" w:firstLineChars="200"/>
        <w:rPr>
          <w:rFonts w:ascii="仿宋_GB2312"/>
          <w:b/>
          <w:szCs w:val="32"/>
        </w:rPr>
      </w:pPr>
      <w:r>
        <w:rPr>
          <w:rFonts w:ascii="Times New Roman" w:hAnsi="Times New Roman" w:cs="Times New Roman"/>
          <w:szCs w:val="32"/>
        </w:rPr>
        <w:t>为加强财政支出管理，提高财政资金使用效益，根据呈贡区财政局《关于对202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2</w:t>
      </w:r>
      <w:r>
        <w:rPr>
          <w:rFonts w:ascii="Times New Roman" w:hAnsi="Times New Roman" w:cs="Times New Roman"/>
          <w:szCs w:val="32"/>
        </w:rPr>
        <w:t>年度预算支出开展绩效自评工作的通知》要求，我单位对202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2</w:t>
      </w:r>
      <w:r>
        <w:rPr>
          <w:rFonts w:ascii="Times New Roman" w:hAnsi="Times New Roman" w:cs="Times New Roman"/>
          <w:szCs w:val="32"/>
        </w:rPr>
        <w:t>年整体支出绩效进行了全面综合自评，现将有关情况报告如下。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基本情况</w:t>
      </w:r>
    </w:p>
    <w:p>
      <w:pPr>
        <w:snapToGrid w:val="0"/>
        <w:spacing w:line="520" w:lineRule="exact"/>
        <w:ind w:firstLine="594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（一）收入支出预算安排情况。</w:t>
      </w:r>
    </w:p>
    <w:p>
      <w:pPr>
        <w:snapToGrid w:val="0"/>
        <w:spacing w:line="560" w:lineRule="exact"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2022年单位收入年初预算228.89万元，2021年单位收入年初预算275.2万元，本年比上年减少46.31万元，主要是2022年根据单位实际情况，减少基本支出。</w:t>
      </w:r>
    </w:p>
    <w:p>
      <w:pPr>
        <w:snapToGrid w:val="0"/>
        <w:spacing w:line="560" w:lineRule="exact"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2022年单位支出年初预算228.89万元，2021年单位收入年初预算275.2万元，本年比上年减少46.31万元，主要是2022年根据单位实际情况，减少基本支出。</w:t>
      </w:r>
    </w:p>
    <w:p>
      <w:pPr>
        <w:snapToGrid w:val="0"/>
        <w:spacing w:line="520" w:lineRule="exact"/>
        <w:ind w:firstLine="594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（二）收入支出预算执行情况。</w:t>
      </w:r>
    </w:p>
    <w:p>
      <w:pPr>
        <w:snapToGrid w:val="0"/>
        <w:spacing w:line="520" w:lineRule="exact"/>
        <w:ind w:firstLine="594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1．收入支出与预算对比分析。</w:t>
      </w:r>
    </w:p>
    <w:p>
      <w:pPr>
        <w:snapToGrid w:val="0"/>
        <w:spacing w:line="520" w:lineRule="exact"/>
        <w:ind w:firstLine="594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（1）预、决算差异情况，分按支出性质和经济分类对比。</w:t>
      </w:r>
    </w:p>
    <w:tbl>
      <w:tblPr>
        <w:tblStyle w:val="4"/>
        <w:tblW w:w="8320" w:type="dxa"/>
        <w:tblInd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59"/>
        <w:gridCol w:w="1634"/>
        <w:gridCol w:w="1634"/>
        <w:gridCol w:w="9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3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 xml:space="preserve">             收入预、决算对比分析评价表        单位:万元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项目(按支出性质和经济分类)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全年决算数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增减额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一、基本支出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212.96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189.64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-23.32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人员经费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188.31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166.95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-21.36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公用经费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22.69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-1.96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15.93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14.18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-1.75</w:t>
            </w:r>
          </w:p>
        </w:tc>
      </w:tr>
    </w:tbl>
    <w:p>
      <w:pPr>
        <w:snapToGrid w:val="0"/>
        <w:spacing w:line="520" w:lineRule="exact"/>
        <w:rPr>
          <w:rFonts w:ascii="仿宋" w:hAnsi="仿宋" w:eastAsia="仿宋" w:cs="仿宋"/>
          <w:color w:val="000000"/>
          <w:sz w:val="32"/>
          <w:szCs w:val="32"/>
        </w:rPr>
      </w:pPr>
    </w:p>
    <w:tbl>
      <w:tblPr>
        <w:tblStyle w:val="4"/>
        <w:tblW w:w="8320" w:type="dxa"/>
        <w:tblInd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59"/>
        <w:gridCol w:w="1634"/>
        <w:gridCol w:w="1634"/>
        <w:gridCol w:w="9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3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 xml:space="preserve">             支出预、决算对比分析评价表         单位:万元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项目(按支出性质和经济分类)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全年决算数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增减额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212.96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189.64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-23.32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人员经费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188.31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166.95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-21.36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公用经费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22.69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-1.96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15.93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14.18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-1.75</w:t>
            </w:r>
          </w:p>
        </w:tc>
      </w:tr>
    </w:tbl>
    <w:p>
      <w:pPr>
        <w:ind w:firstLine="594" w:firstLineChars="200"/>
        <w:rPr>
          <w:rFonts w:hint="default" w:ascii="Times New Roman" w:hAnsi="Times New Roman" w:cs="Times New Roman"/>
        </w:rPr>
      </w:pPr>
      <w:bookmarkStart w:id="0" w:name="_Hlk126573137"/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2022年年初收入支出预算数228.89万元,其中基本支出212.96万元，项目支出15.93万元，收入支出调整预算数203.83万元，其中基本支出212.96万元，项目支出15.93万元，年末收入支出预算数比年初减少的主要原因是人员经费减少21.36万元。</w:t>
      </w:r>
      <w:bookmarkEnd w:id="0"/>
    </w:p>
    <w:p>
      <w:pPr>
        <w:snapToGrid w:val="0"/>
        <w:spacing w:line="520" w:lineRule="exact"/>
        <w:ind w:firstLine="594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2．收入支出结构分析。</w:t>
      </w:r>
    </w:p>
    <w:p>
      <w:pPr>
        <w:spacing w:line="560" w:lineRule="exact"/>
        <w:ind w:firstLine="594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（1）各项收入占总收入比重：</w:t>
      </w:r>
      <w:bookmarkStart w:id="1" w:name="_Hlk126573329"/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2022年财政拨款收入203.83万元 ，其他收入</w:t>
      </w:r>
      <w:r>
        <w:rPr>
          <w:rFonts w:hint="default" w:ascii="Times New Roman" w:hAnsi="Times New Roman" w:eastAsia="仿宋" w:cs="Times New Roman"/>
          <w:bCs/>
          <w:color w:val="000000"/>
          <w:sz w:val="32"/>
          <w:szCs w:val="32"/>
        </w:rPr>
        <w:t>0元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，具体功能科目收入如下：</w:t>
      </w:r>
      <w:bookmarkEnd w:id="1"/>
    </w:p>
    <w:tbl>
      <w:tblPr>
        <w:tblStyle w:val="4"/>
        <w:tblW w:w="822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3"/>
        <w:gridCol w:w="1180"/>
        <w:gridCol w:w="1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财政拨款收入                  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项目(按功能分类)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收入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比重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一、一般公共服务支出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164.55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80.73%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二、外交支出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三、国防支出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四、公共安全支出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五、教育支出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0.20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六、科学技术支出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七、文化旅游体育与传媒支出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八、社会保障和就业支出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18.34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9.00%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九、卫生健康支出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6.68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3.28%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十、节能环保支出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十一、城乡社区支出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十二、农林水支出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十三、交通运输支出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十四、资源勘探工业信息等支出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十五、商业服务业等支出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十六、金融支出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十七、援助其他地区支出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十八、自然资源海洋气象等支出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十九、住房保障支出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14.05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6.90%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二十、粮油物资储备支出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二十一、国有资本经营预算支出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二十二、灾害防治及应急管理支出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二十三、其他支出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二十四、债务还本支出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二十五、债务付息支出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二十六、抗疫特别国债安排的支出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203.83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100.00%</w:t>
            </w:r>
          </w:p>
        </w:tc>
      </w:tr>
    </w:tbl>
    <w:p>
      <w:pPr>
        <w:pStyle w:val="2"/>
        <w:ind w:firstLine="594" w:firstLineChars="200"/>
        <w:rPr>
          <w:rFonts w:hint="default" w:ascii="Times New Roman" w:hAnsi="Times New Roman" w:cs="Times New Roman"/>
        </w:rPr>
      </w:pPr>
      <w:bookmarkStart w:id="2" w:name="_Hlk126582116"/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（2）各项支出占总支出比重：2022年财政拨款支出203.83万元 ，其他支出</w:t>
      </w:r>
      <w:r>
        <w:rPr>
          <w:rFonts w:hint="default" w:ascii="Times New Roman" w:hAnsi="Times New Roman" w:eastAsia="仿宋" w:cs="Times New Roman"/>
          <w:bCs/>
          <w:color w:val="000000"/>
          <w:sz w:val="32"/>
          <w:szCs w:val="32"/>
        </w:rPr>
        <w:t>0元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，具体功能科目收入如下：</w:t>
      </w:r>
    </w:p>
    <w:tbl>
      <w:tblPr>
        <w:tblStyle w:val="4"/>
        <w:tblW w:w="822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3"/>
        <w:gridCol w:w="1180"/>
        <w:gridCol w:w="1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财政拨款收入                  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项目(按功能分类)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支出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比重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一、一般公共服务支出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164.55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80.73%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二、外交支出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三、国防支出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四、公共安全支出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五、教育支出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0.20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六、科学技术支出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七、文化旅游体育与传媒支出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八、社会保障和就业支出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18.34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9.00%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九、卫生健康支出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6.68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3.28%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十、节能环保支出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十一、城乡社区支出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十二、农林水支出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十三、交通运输支出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十四、资源勘探工业信息等支出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十五、商业服务业等支出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十六、金融支出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十七、援助其他地区支出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十八、自然资源海洋气象等支出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十九、住房保障支出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14.05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6.90%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二十、粮油物资储备支出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二十一、国有资本经营预算支出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二十二、灾害防治及应急管理支出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二十三、其他支出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二十四、债务还本支出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二十五、债务付息支出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二十六、抗疫特别国债安排的支出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203.83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100.00%</w:t>
            </w:r>
          </w:p>
        </w:tc>
      </w:tr>
      <w:bookmarkEnd w:id="2"/>
    </w:tbl>
    <w:p>
      <w:pPr>
        <w:snapToGrid w:val="0"/>
        <w:spacing w:line="520" w:lineRule="exact"/>
        <w:ind w:firstLine="594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3．支出按经济分类科目分析。</w:t>
      </w:r>
    </w:p>
    <w:p>
      <w:pPr>
        <w:snapToGrid w:val="0"/>
        <w:spacing w:line="520" w:lineRule="exact"/>
        <w:ind w:firstLine="594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（1）“三公”经费支出情况：可进行上下年对比、预决算对比。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分析“三公”经费实物量情况，例如公务用车购置及保有量、因公出国（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境）团组数及人数和公务接待批次及人数等情况与分析。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动用上年结转用于三公经费的情况与原因。</w:t>
      </w:r>
    </w:p>
    <w:p>
      <w:pPr>
        <w:snapToGrid w:val="0"/>
        <w:spacing w:line="560" w:lineRule="exact"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3" w:name="_Hlk126582315"/>
      <w:bookmarkStart w:id="4" w:name="_Hlk126573894"/>
      <w:r>
        <w:rPr>
          <w:rFonts w:hint="default" w:ascii="Times New Roman" w:hAnsi="Times New Roman" w:eastAsia="仿宋_GB2312" w:cs="Times New Roman"/>
          <w:sz w:val="32"/>
          <w:szCs w:val="32"/>
        </w:rPr>
        <w:t>2022年，部门“三公”经费支出为0万元。其中，因公出国（境）费0、公务用车购置及运行费0万元和公务接待费0万元。2021年，部门“三公”经费支出为0万元。其中，因公出国（境）费0万元、公务用车购置及运行费0万元和公务接待费0万元。</w:t>
      </w:r>
    </w:p>
    <w:bookmarkEnd w:id="3"/>
    <w:p>
      <w:pPr>
        <w:snapToGrid w:val="0"/>
        <w:spacing w:line="520" w:lineRule="exact"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（2）会议费支出情况：可进行上下年对比,人均支出情况分析（可做表、柱图、折线图）。</w:t>
      </w:r>
    </w:p>
    <w:p>
      <w:pPr>
        <w:snapToGrid w:val="0"/>
        <w:spacing w:line="520" w:lineRule="exact"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5" w:name="_Hlk126582337"/>
      <w:r>
        <w:rPr>
          <w:rFonts w:hint="default" w:ascii="Times New Roman" w:hAnsi="Times New Roman" w:eastAsia="仿宋_GB2312" w:cs="Times New Roman"/>
          <w:sz w:val="32"/>
          <w:szCs w:val="32"/>
        </w:rPr>
        <w:t>2022年会议费0元，2021年会议费0元。</w:t>
      </w:r>
      <w:bookmarkEnd w:id="5"/>
    </w:p>
    <w:p>
      <w:pPr>
        <w:snapToGrid w:val="0"/>
        <w:spacing w:line="520" w:lineRule="exact"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（3）培训费支出情况：可进行上下年对比，人均支出情况分析（可做表、柱图、折线图）。</w:t>
      </w:r>
    </w:p>
    <w:p>
      <w:pPr>
        <w:snapToGrid w:val="0"/>
        <w:spacing w:line="520" w:lineRule="exact"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6" w:name="_Hlk126582359"/>
      <w:r>
        <w:rPr>
          <w:rFonts w:hint="default" w:ascii="Times New Roman" w:hAnsi="Times New Roman" w:eastAsia="仿宋_GB2312" w:cs="Times New Roman"/>
          <w:sz w:val="32"/>
          <w:szCs w:val="32"/>
        </w:rPr>
        <w:t>2022年培训费支出0.07万元；2021年培训费支出0.3万元。2022年比2021年减少的原因是：疫情原因，减少各类培训项目。</w:t>
      </w:r>
    </w:p>
    <w:bookmarkEnd w:id="6"/>
    <w:p>
      <w:pPr>
        <w:snapToGrid w:val="0"/>
        <w:spacing w:line="520" w:lineRule="exact"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（4）其他对单位影响较大的支出情况。</w:t>
      </w:r>
    </w:p>
    <w:p>
      <w:pPr>
        <w:snapToGrid w:val="0"/>
        <w:spacing w:line="520" w:lineRule="exact"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无。</w:t>
      </w:r>
    </w:p>
    <w:p>
      <w:pPr>
        <w:snapToGrid w:val="0"/>
        <w:spacing w:line="520" w:lineRule="exact"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（5）重点经济分类支出中存在的问题及改进措施。</w:t>
      </w:r>
    </w:p>
    <w:p>
      <w:pPr>
        <w:snapToGrid w:val="0"/>
        <w:spacing w:line="520" w:lineRule="exact"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无。</w:t>
      </w:r>
      <w:bookmarkEnd w:id="4"/>
    </w:p>
    <w:p>
      <w:pPr>
        <w:snapToGrid w:val="0"/>
        <w:spacing w:line="520" w:lineRule="exact"/>
        <w:ind w:firstLine="594" w:firstLineChars="200"/>
        <w:rPr>
          <w:rFonts w:hint="eastAsia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4.财政拨款收入、支出分析。</w:t>
      </w:r>
    </w:p>
    <w:tbl>
      <w:tblPr>
        <w:tblStyle w:val="4"/>
        <w:tblW w:w="87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163"/>
        <w:gridCol w:w="1163"/>
        <w:gridCol w:w="1597"/>
        <w:gridCol w:w="1163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bookmarkStart w:id="7" w:name="_Hlk126582670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                     2022年收入支出情况表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指  标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本年度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上年度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比上年增减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增减％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 1.本年收入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203.83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219.16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-15.34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-7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减少基本支出和项目支出经费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  其中：一般公共预算财政拨款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203.83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219.16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-15.34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-7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减少基本支出和项目支出经费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 2.本年支出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203.83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219.16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-15.34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-7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减少基本支出和项目支出经费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  其中：基本支出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189.64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209.25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-19.61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-9.37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因2022年比2021年减少办公用品支出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     （1）人员经费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166.95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175.52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-8.57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-4.88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减少人员经费支出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     （2）公用经费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22.69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33.73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-11.04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-32.73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因2022年比2021年减少办公用品支出，故公用经费减少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     项目支出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14.18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9.91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4.27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43.12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因2022年比2021年增加一个项目：机关建设专项经费，故项目支出增加</w:t>
            </w:r>
          </w:p>
        </w:tc>
      </w:tr>
    </w:tbl>
    <w:p>
      <w:pPr>
        <w:snapToGrid w:val="0"/>
        <w:spacing w:line="520" w:lineRule="exact"/>
        <w:ind w:firstLine="594" w:firstLineChars="200"/>
        <w:rPr>
          <w:rFonts w:ascii="仿宋_GB2312" w:hAnsi="仿宋" w:eastAsia="仿宋_GB2312"/>
          <w:color w:val="000000"/>
          <w:sz w:val="32"/>
          <w:szCs w:val="32"/>
        </w:rPr>
      </w:pPr>
    </w:p>
    <w:bookmarkEnd w:id="7"/>
    <w:p>
      <w:pPr>
        <w:snapToGrid w:val="0"/>
        <w:spacing w:line="520" w:lineRule="exact"/>
        <w:ind w:firstLine="594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5.非财政拨款收入分析。</w:t>
      </w:r>
    </w:p>
    <w:p>
      <w:pPr>
        <w:snapToGrid w:val="0"/>
        <w:spacing w:line="520" w:lineRule="exact"/>
        <w:ind w:firstLine="594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无非财政拨款收入。</w:t>
      </w:r>
    </w:p>
    <w:p>
      <w:pPr>
        <w:snapToGrid w:val="0"/>
        <w:spacing w:line="520" w:lineRule="exact"/>
        <w:ind w:firstLine="594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（三）年末结转和结余情况。</w:t>
      </w:r>
    </w:p>
    <w:p>
      <w:pPr>
        <w:snapToGrid w:val="0"/>
        <w:spacing w:line="520" w:lineRule="exact"/>
        <w:ind w:firstLine="594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无。</w:t>
      </w:r>
    </w:p>
    <w:p>
      <w:pPr>
        <w:snapToGrid w:val="0"/>
        <w:spacing w:line="520" w:lineRule="exact"/>
        <w:ind w:left="6831" w:leftChars="200" w:hanging="6237" w:hangingChars="2100"/>
        <w:jc w:val="left"/>
        <w:rPr>
          <w:rFonts w:hint="eastAsia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（四）与预算支出相关的其他指标分析</w:t>
      </w:r>
      <w:r>
        <w:t xml:space="preserve">                                                   </w:t>
      </w:r>
      <w:r>
        <w:rPr>
          <w:rFonts w:hint="eastAsia"/>
        </w:rPr>
        <w:t>单位：万元</w:t>
      </w:r>
    </w:p>
    <w:tbl>
      <w:tblPr>
        <w:tblStyle w:val="4"/>
        <w:tblW w:w="9200" w:type="dxa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1740"/>
        <w:gridCol w:w="1300"/>
        <w:gridCol w:w="1480"/>
        <w:gridCol w:w="2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 产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期末余额</w:t>
            </w:r>
          </w:p>
        </w:tc>
        <w:tc>
          <w:tcPr>
            <w:tcW w:w="1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年初余额</w:t>
            </w:r>
          </w:p>
        </w:tc>
        <w:tc>
          <w:tcPr>
            <w:tcW w:w="1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增减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增减原因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货币资金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1.97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-5.14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因存量资金上缴区财政，导致货币资金减少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固定资产原值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65.07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56.22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8.85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本年购入一批固定资产8.85万元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减：固定资产累计折旧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33.97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26.51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7.45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本年计提折旧7.45万元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其他应付款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4.71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-2.58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存量资金上缴区财政</w:t>
            </w:r>
          </w:p>
        </w:tc>
      </w:tr>
    </w:tbl>
    <w:p>
      <w:pPr>
        <w:topLinePunct/>
        <w:ind w:firstLine="594" w:firstLineChars="200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szCs w:val="32"/>
        </w:rPr>
        <w:t>部门整体支出绩效目标</w:t>
      </w:r>
    </w:p>
    <w:p>
      <w:pPr>
        <w:spacing w:line="560" w:lineRule="exact"/>
        <w:ind w:firstLine="594" w:firstLineChars="200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1.合理编制预算、决算、绩效信息并及时公开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仿宋_GB2312" w:cs="Times New Roman"/>
          <w:b/>
          <w:szCs w:val="32"/>
        </w:rPr>
        <w:t>一是</w:t>
      </w:r>
      <w:r>
        <w:rPr>
          <w:rFonts w:ascii="Times New Roman" w:hAnsi="仿宋_GB2312" w:cs="Times New Roman"/>
          <w:szCs w:val="32"/>
        </w:rPr>
        <w:t>结合编办工作实际，召开专题工作会议研究</w:t>
      </w:r>
      <w:r>
        <w:rPr>
          <w:rFonts w:ascii="Times New Roman" w:hAnsi="Times New Roman" w:cs="Times New Roman"/>
          <w:szCs w:val="32"/>
        </w:rPr>
        <w:t>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2</w:t>
      </w:r>
      <w:r>
        <w:rPr>
          <w:rFonts w:ascii="Times New Roman" w:hAnsi="仿宋_GB2312" w:cs="Times New Roman"/>
          <w:szCs w:val="32"/>
        </w:rPr>
        <w:t>年预算项目资金。由各项目负责人提出初步预算，并细化支出，明确绩效指标。提交预算专题会议研究，集体讨论通过后及时从系统申报</w:t>
      </w:r>
      <w:r>
        <w:rPr>
          <w:rFonts w:ascii="Times New Roman" w:hAnsi="Times New Roman" w:cs="Times New Roman"/>
          <w:szCs w:val="32"/>
        </w:rPr>
        <w:t>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2</w:t>
      </w:r>
      <w:r>
        <w:rPr>
          <w:rFonts w:ascii="Times New Roman" w:hAnsi="仿宋_GB2312" w:cs="Times New Roman"/>
          <w:szCs w:val="32"/>
        </w:rPr>
        <w:t>年基本支出预算、项目支出预算、整体绩效绩效目标和项目绩效目标。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</w:rPr>
      </w:pPr>
      <w:r>
        <w:rPr>
          <w:rFonts w:ascii="Times New Roman" w:hAnsi="仿宋_GB2312" w:cs="Times New Roman"/>
          <w:b/>
          <w:szCs w:val="32"/>
        </w:rPr>
        <w:t>二是</w:t>
      </w:r>
      <w:r>
        <w:rPr>
          <w:rFonts w:ascii="Times New Roman" w:hAnsi="仿宋_GB2312" w:cs="Times New Roman"/>
          <w:szCs w:val="32"/>
        </w:rPr>
        <w:t>落实预算、决算、绩效公开主体责任。严格按照规定时限、公开内容和格式，</w:t>
      </w:r>
      <w:r>
        <w:rPr>
          <w:rFonts w:ascii="Times New Roman" w:hAnsi="仿宋_GB2312" w:cs="Times New Roman"/>
          <w:color w:val="000000"/>
          <w:szCs w:val="32"/>
        </w:rPr>
        <w:t>同步在全省预决算监督管理平台网站和政府</w:t>
      </w:r>
      <w:r>
        <w:rPr>
          <w:rFonts w:ascii="Times New Roman" w:hAnsi="仿宋_GB2312" w:cs="Times New Roman"/>
          <w:szCs w:val="32"/>
        </w:rPr>
        <w:t>门户网站公开部门</w:t>
      </w:r>
      <w:r>
        <w:rPr>
          <w:rFonts w:ascii="Times New Roman" w:hAnsi="仿宋_GB2312" w:cs="Times New Roman"/>
        </w:rPr>
        <w:t>预算、决算信息、绩效自评等财政资金信息。</w:t>
      </w:r>
      <w:r>
        <w:rPr>
          <w:rFonts w:ascii="Times New Roman" w:hAnsi="Times New Roman" w:cs="Times New Roman"/>
        </w:rPr>
        <w:t xml:space="preserve"> </w:t>
      </w:r>
    </w:p>
    <w:p>
      <w:pPr>
        <w:spacing w:line="560" w:lineRule="exact"/>
        <w:ind w:firstLine="594" w:firstLineChars="200"/>
        <w:rPr>
          <w:rFonts w:hint="eastAsia" w:ascii="仿宋_GB2312" w:hAnsi="仿宋_GB2312" w:eastAsia="仿宋_GB2312" w:cs="仿宋_GB2312"/>
          <w:b/>
          <w:bCs w:val="0"/>
        </w:rPr>
      </w:pPr>
      <w:r>
        <w:rPr>
          <w:rFonts w:hint="eastAsia" w:ascii="仿宋_GB2312" w:hAnsi="仿宋_GB2312" w:eastAsia="仿宋_GB2312" w:cs="仿宋_GB2312"/>
          <w:b/>
          <w:bCs w:val="0"/>
        </w:rPr>
        <w:t>2.规范国有资产管理</w:t>
      </w:r>
    </w:p>
    <w:p>
      <w:pPr>
        <w:spacing w:line="560" w:lineRule="exact"/>
        <w:ind w:firstLine="582" w:firstLineChars="196"/>
        <w:rPr>
          <w:rFonts w:ascii="Times New Roman" w:hAnsi="Times New Roman" w:cs="Times New Roman"/>
        </w:rPr>
      </w:pPr>
      <w:r>
        <w:rPr>
          <w:rFonts w:ascii="Times New Roman" w:hAnsi="仿宋_GB2312" w:cs="Times New Roman"/>
        </w:rPr>
        <w:t>完善《中共昆明市呈贡区委编办资产管理制度》，对资产实行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仿宋_GB2312" w:cs="Times New Roman"/>
        </w:rPr>
        <w:t>统一领导，归口管理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仿宋_GB2312" w:cs="Times New Roman"/>
        </w:rPr>
        <w:t>，由办公室进行固定资产登记、建账、核算和管理，所有固定资产的购买、领用、收回、核销、报废等手续均由办公室负责，政府采购后及时入账并入固定资产管理系统，做到账实相符、账账相符。</w:t>
      </w:r>
    </w:p>
    <w:p>
      <w:pPr>
        <w:spacing w:line="560" w:lineRule="exact"/>
        <w:ind w:firstLine="446" w:firstLineChars="150"/>
        <w:rPr>
          <w:rFonts w:hint="eastAsia" w:ascii="仿宋_GB2312" w:hAnsi="仿宋_GB2312" w:eastAsia="仿宋_GB2312" w:cs="仿宋_GB2312"/>
          <w:b/>
          <w:bCs w:val="0"/>
        </w:rPr>
      </w:pPr>
      <w:r>
        <w:rPr>
          <w:rFonts w:hint="eastAsia" w:ascii="仿宋_GB2312" w:hAnsi="仿宋_GB2312" w:eastAsia="仿宋_GB2312" w:cs="仿宋_GB2312"/>
          <w:b/>
          <w:bCs w:val="0"/>
        </w:rPr>
        <w:t>3.严控三公经费使用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</w:rPr>
      </w:pPr>
      <w:r>
        <w:rPr>
          <w:rFonts w:ascii="Times New Roman" w:hAnsi="仿宋_GB2312" w:cs="Times New Roman"/>
        </w:rPr>
        <w:t>严格控制三公经费，及时公开三公经费使用情况</w:t>
      </w:r>
      <w:r>
        <w:rPr>
          <w:rFonts w:ascii="Times New Roman" w:hAnsi="Times New Roman" w:cs="Times New Roman"/>
        </w:rPr>
        <w:t>.202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仿宋_GB2312" w:cs="Times New Roman"/>
        </w:rPr>
        <w:t>年度，我办无因公出国（境）、公务用车购置及运行费。公务接待严格按照标准执行，无任何高消费、乱消费问题。</w:t>
      </w:r>
      <w:r>
        <w:rPr>
          <w:rFonts w:ascii="Times New Roman" w:hAnsi="Times New Roman" w:cs="Times New Roman"/>
        </w:rPr>
        <w:t xml:space="preserve"> </w:t>
      </w:r>
    </w:p>
    <w:p>
      <w:pPr>
        <w:spacing w:line="560" w:lineRule="exact"/>
        <w:ind w:firstLine="594" w:firstLineChars="200"/>
        <w:rPr>
          <w:rFonts w:hint="eastAsia" w:ascii="Times New Roman" w:hAnsi="仿宋_GB2312" w:cs="Times New Roman"/>
        </w:rPr>
      </w:pPr>
      <w:r>
        <w:rPr>
          <w:rFonts w:hint="eastAsia" w:ascii="Times New Roman" w:hAnsi="仿宋_GB2312" w:cs="Times New Roman"/>
        </w:rPr>
        <w:t>4.严格执行财务制度</w:t>
      </w:r>
    </w:p>
    <w:p>
      <w:pPr>
        <w:spacing w:line="560" w:lineRule="exact"/>
        <w:ind w:firstLine="594" w:firstLineChars="200"/>
        <w:rPr>
          <w:rFonts w:hint="eastAsia" w:ascii="Times New Roman" w:hAnsi="仿宋_GB2312" w:cs="Times New Roman"/>
        </w:rPr>
      </w:pPr>
      <w:r>
        <w:rPr>
          <w:rFonts w:ascii="Times New Roman" w:hAnsi="仿宋_GB2312" w:cs="Times New Roman"/>
        </w:rPr>
        <w:t>认真按照《中华人民共和国预算法》、《中华人民共和国会计法》、《会计基础工作规范》及预算管理、绩效管理、资产管理、内部控制相关规定开展工作，修订完善《中共昆明市呈贡区委机构编制委员会办公室财务管理制度》，对照资金使用办法和报销流程，严格资金审批使用管理，对符合使用条件的项目，按照相关流程进行拨付使用。实现专款专用，票据专人保管，财务流程清楚。每月汇总整理原始单据经综合科、分管财务领导、主要负责人三级审核签批后才进行财务报销，以保证单位财务会计管理的合法合规，财务报告及数据信息真实性、完整性、规范性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三</w:t>
      </w:r>
      <w:r>
        <w:rPr>
          <w:rFonts w:hint="eastAsia" w:ascii="黑体" w:eastAsia="黑体"/>
          <w:szCs w:val="32"/>
        </w:rPr>
        <w:t>、绩效评价工作情况</w:t>
      </w:r>
    </w:p>
    <w:p>
      <w:pPr>
        <w:topLinePunct/>
        <w:ind w:firstLine="594" w:firstLineChars="200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绩效评价目的</w:t>
      </w:r>
    </w:p>
    <w:p>
      <w:pPr>
        <w:topLinePunct/>
        <w:spacing w:line="560" w:lineRule="exact"/>
        <w:ind w:firstLine="640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hd w:val="clear" w:color="auto" w:fill="FFFFFF"/>
        </w:rPr>
        <w:t>本次自评的目的是了解区委编办202</w:t>
      </w:r>
      <w:r>
        <w:rPr>
          <w:rFonts w:hint="eastAsia" w:ascii="Times New Roman" w:hAnsi="Times New Roman" w:cs="Times New Roman"/>
          <w:color w:val="000000"/>
          <w:kern w:val="0"/>
          <w:shd w:val="clear" w:color="auto" w:fill="FFFFFF"/>
          <w:lang w:val="en-US" w:eastAsia="zh-CN"/>
        </w:rPr>
        <w:t>2</w:t>
      </w:r>
      <w:r>
        <w:rPr>
          <w:rFonts w:ascii="Times New Roman" w:hAnsi="Times New Roman" w:cs="Times New Roman"/>
          <w:color w:val="000000"/>
          <w:kern w:val="0"/>
          <w:shd w:val="clear" w:color="auto" w:fill="FFFFFF"/>
        </w:rPr>
        <w:t>年度</w:t>
      </w:r>
      <w:bookmarkStart w:id="8" w:name="_GoBack"/>
      <w:bookmarkEnd w:id="8"/>
      <w:r>
        <w:rPr>
          <w:rFonts w:ascii="Times New Roman" w:hAnsi="Times New Roman" w:cs="Times New Roman"/>
          <w:color w:val="000000"/>
          <w:kern w:val="0"/>
          <w:shd w:val="clear" w:color="auto" w:fill="FFFFFF"/>
        </w:rPr>
        <w:t>财政资金预算收支的绩效状况，为今后预算安排提供依据。</w:t>
      </w:r>
      <w:r>
        <w:rPr>
          <w:rFonts w:ascii="Times New Roman" w:hAnsi="Times New Roman" w:cs="Times New Roman"/>
        </w:rPr>
        <w:t>通过运用科学合理的绩效评价指标、评价标准和评价方法，对呈贡区委编办202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val="en-US" w:eastAsia="zh-CN"/>
        </w:rPr>
        <w:t>228.89</w:t>
      </w:r>
      <w:r>
        <w:rPr>
          <w:rFonts w:ascii="Times New Roman" w:hAnsi="Arial Narrow" w:cs="Times New Roman"/>
          <w:color w:val="000000"/>
          <w:kern w:val="0"/>
          <w:szCs w:val="32"/>
        </w:rPr>
        <w:t>万</w:t>
      </w:r>
      <w:r>
        <w:rPr>
          <w:rFonts w:ascii="Times New Roman" w:hAnsi="Arial Narrow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财</w:t>
      </w:r>
      <w:r>
        <w:rPr>
          <w:rFonts w:ascii="Times New Roman" w:hAnsi="Times New Roman" w:cs="Times New Roman"/>
          <w:color w:val="000000"/>
        </w:rPr>
        <w:t>政拨款支出的经济性、效率性和效益性进行客观、公正的评价。</w:t>
      </w:r>
      <w:r>
        <w:rPr>
          <w:rFonts w:ascii="Times New Roman" w:hAnsi="Times New Roman" w:cs="Times New Roman"/>
          <w:color w:val="000000"/>
          <w:kern w:val="0"/>
          <w:shd w:val="clear" w:color="auto" w:fill="FFFFFF"/>
        </w:rPr>
        <w:t>进一步压实支出管理的责任，优化支出结构，提高</w:t>
      </w:r>
      <w:r>
        <w:rPr>
          <w:rFonts w:ascii="Times New Roman" w:hAnsi="Times New Roman" w:cs="Times New Roman"/>
          <w:color w:val="000000"/>
          <w:spacing w:val="-20"/>
          <w:kern w:val="0"/>
          <w:sz w:val="32"/>
          <w:shd w:val="clear" w:color="auto" w:fill="FFFFFF"/>
        </w:rPr>
        <w:t>财政资金使用效益，提升预算绩效管理水平，以便更好地履职尽责。</w:t>
      </w:r>
    </w:p>
    <w:p>
      <w:pPr>
        <w:topLinePunct/>
        <w:spacing w:line="560" w:lineRule="exact"/>
        <w:ind w:firstLine="582" w:firstLineChars="196"/>
        <w:rPr>
          <w:rFonts w:ascii="Times New Roman" w:hAnsi="Times New Roman" w:cs="Times New Roman"/>
          <w:color w:val="000000"/>
        </w:rPr>
      </w:pPr>
      <w:r>
        <w:rPr>
          <w:rFonts w:ascii="Times New Roman" w:hAnsi="楷体" w:eastAsia="楷体" w:cs="Times New Roman"/>
        </w:rPr>
        <w:t>（二）绩效评价工作过程</w:t>
      </w:r>
    </w:p>
    <w:p>
      <w:pPr>
        <w:topLinePunct/>
        <w:spacing w:line="560" w:lineRule="exact"/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 前期准备：</w:t>
      </w:r>
      <w:r>
        <w:rPr>
          <w:rFonts w:ascii="Times New Roman" w:hAnsi="Times New Roman" w:cs="Times New Roman"/>
          <w:color w:val="000000"/>
        </w:rPr>
        <w:t>按照绩效自评工作要求，组成以区委编办主任为组长的绩效评价工作领导小组，对相关的国家法律法规进行了认真学习，掌握政策，根据部门整体收支情况制定了部门整体支出绩效评价实施方案，合理设计绩效评价指标体系。</w:t>
      </w:r>
    </w:p>
    <w:p>
      <w:pPr>
        <w:topLinePunct/>
        <w:spacing w:line="560" w:lineRule="exact"/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2. 组织实施：</w:t>
      </w:r>
      <w:r>
        <w:rPr>
          <w:rFonts w:ascii="Times New Roman" w:hAnsi="Times New Roman" w:cs="Times New Roman"/>
          <w:color w:val="000000"/>
        </w:rPr>
        <w:t>采用核查法核查202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2</w:t>
      </w:r>
      <w:r>
        <w:rPr>
          <w:rFonts w:ascii="Times New Roman" w:hAnsi="Times New Roman" w:cs="Times New Roman"/>
          <w:color w:val="000000"/>
        </w:rPr>
        <w:t>年财政预算执行情况及部门整体支出情况，着重核查了“三公”经费及资产配置、内部控制制度执行情况。对各个业务科室，根据科室职责和预算支出执行情况，对照年初制定的绩效考核指标，进行实地绩效考评。</w:t>
      </w:r>
    </w:p>
    <w:p>
      <w:pPr>
        <w:topLinePunct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</w:rPr>
        <w:t>3. 分析评价：</w:t>
      </w:r>
      <w:r>
        <w:rPr>
          <w:rFonts w:ascii="Times New Roman" w:hAnsi="Times New Roman" w:cs="Times New Roman"/>
          <w:color w:val="000000"/>
        </w:rPr>
        <w:t>对项目实施科室报送情况进行核查并开展现场评价工作，对评价过程中收集资料进行归纳，汇总分析，依据设定的部门整体支出绩效评价指标体系进行了评分，形成综合性书面报告。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、主要绩效及评价结论</w:t>
      </w:r>
    </w:p>
    <w:p>
      <w:pPr>
        <w:topLinePunct/>
        <w:spacing w:line="560" w:lineRule="exact"/>
        <w:ind w:firstLine="582" w:firstLineChars="19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一是</w:t>
      </w:r>
      <w:r>
        <w:rPr>
          <w:rFonts w:ascii="Times New Roman" w:hAnsi="Times New Roman" w:cs="Times New Roman"/>
          <w:bCs/>
        </w:rPr>
        <w:t>将绩效评价结果与来年预算安排结合。预算绩效评价结果反馈后，及时督促项目负责人针对评价中发现的问题及时采取措施进行整改，并作为编制年度预算和三年滚动规划、以及资金拨付、预算调整的重要依据。</w:t>
      </w:r>
    </w:p>
    <w:p>
      <w:pPr>
        <w:topLinePunct/>
        <w:spacing w:line="560" w:lineRule="exact"/>
        <w:ind w:firstLine="582" w:firstLineChars="19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二是</w:t>
      </w:r>
      <w:r>
        <w:rPr>
          <w:rFonts w:ascii="Times New Roman" w:hAnsi="Times New Roman" w:cs="Times New Roman"/>
          <w:bCs/>
        </w:rPr>
        <w:t>建立绩效评价信息库，将绩效评价相关资料、结论意见整理归档，做好数据分析研究、分类管理和信息共享工作，作为不断加强和改善预算和绩效管理的重要参考。</w:t>
      </w:r>
    </w:p>
    <w:p>
      <w:pPr>
        <w:numPr>
          <w:ilvl w:val="0"/>
          <w:numId w:val="0"/>
        </w:numPr>
        <w:topLinePunct/>
        <w:ind w:left="592" w:leftChars="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五、</w:t>
      </w:r>
      <w:r>
        <w:rPr>
          <w:rFonts w:hint="eastAsia" w:ascii="黑体" w:eastAsia="黑体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82" w:firstLineChars="196"/>
        <w:textAlignment w:val="auto"/>
        <w:rPr>
          <w:rFonts w:hint="eastAsia" w:ascii="黑体" w:eastAsia="黑体"/>
          <w:szCs w:val="32"/>
        </w:rPr>
      </w:pP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 xml:space="preserve">年度预算绩效评价工作虽取得了一定的成绩，但仍存在绩效管理、绩效评价经验不足；预算绩效管理人员业务能力素质不高等问题。针对上述存在问题，我办高度重视，不断加强业务培训学习。积极参加财政局组织的相关业务培训，加强理论研究，对绩效评价的意义、目的、方法、技术手段进行认真学习，理论与实践不断相互促进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592" w:leftChars="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六、</w:t>
      </w:r>
      <w:r>
        <w:rPr>
          <w:rFonts w:hint="eastAsia" w:ascii="黑体" w:eastAsia="黑体"/>
          <w:szCs w:val="32"/>
        </w:rPr>
        <w:t>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楷体" w:eastAsia="楷体" w:cs="Times New Roman"/>
          <w:bCs/>
        </w:rPr>
        <w:t>（一）科学编制预算，明确量化指标。</w:t>
      </w:r>
      <w:r>
        <w:rPr>
          <w:rFonts w:ascii="Times New Roman" w:cs="Times New Roman"/>
        </w:rPr>
        <w:t>细化预算评价指标，科学合理编制部门预算，推进预算编制科学化、准确化，为绩效评价提供准确的数量指标、质量指标、时效指标、成本指标。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楷体" w:eastAsia="楷体" w:cs="Times New Roman"/>
          <w:bCs/>
        </w:rPr>
        <w:t>（二）提高对绩效评价工作</w:t>
      </w:r>
      <w:r>
        <w:rPr>
          <w:rFonts w:hint="eastAsia" w:ascii="Times New Roman" w:hAnsi="楷体" w:eastAsia="楷体" w:cs="Times New Roman"/>
          <w:bCs/>
          <w:lang w:eastAsia="zh-CN"/>
        </w:rPr>
        <w:t>的</w:t>
      </w:r>
      <w:r>
        <w:rPr>
          <w:rFonts w:ascii="Times New Roman" w:hAnsi="楷体" w:eastAsia="楷体" w:cs="Times New Roman"/>
          <w:bCs/>
        </w:rPr>
        <w:t>认识，高度重视绩效管理工作。</w:t>
      </w:r>
      <w:r>
        <w:rPr>
          <w:rFonts w:ascii="Times New Roman" w:hAnsi="Times New Roman" w:cs="Times New Roman"/>
        </w:rPr>
        <w:t>打破“重投入、轻产出”的粗放式发展理念和管理模式，牢固树立绩效管理观念，把绩效管理原则、方法、目的贯穿预算编制、执行和监督的全过程。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楷体" w:eastAsia="楷体" w:cs="Times New Roman"/>
          <w:bCs/>
        </w:rPr>
        <w:t>（三）进一步完善绩效评价制度建设。</w:t>
      </w:r>
      <w:r>
        <w:rPr>
          <w:rFonts w:ascii="Times New Roman" w:hAnsi="Times New Roman" w:cs="Times New Roman"/>
          <w:color w:val="000000"/>
        </w:rPr>
        <w:t>建立预算编制有目标、预算执行有监控、预算完成有评价、评价结果又反馈的、反馈结果有运用的全过程绩效管理机制模式，确立以绩效目标为导向、绩效评价为核心、制度建设为保证的预算支出绩效评价制度。</w:t>
      </w:r>
    </w:p>
    <w:p>
      <w:pPr>
        <w:topLinePunct/>
        <w:spacing w:line="560" w:lineRule="exact"/>
        <w:ind w:firstLine="582" w:firstLineChars="196"/>
        <w:rPr>
          <w:rFonts w:hint="eastAsia" w:ascii="黑体" w:eastAsia="黑体"/>
          <w:szCs w:val="32"/>
        </w:rPr>
      </w:pPr>
      <w:r>
        <w:rPr>
          <w:rFonts w:ascii="Times New Roman" w:hAnsi="楷体" w:eastAsia="楷体" w:cs="Times New Roman"/>
        </w:rPr>
        <w:t>（四）积极</w:t>
      </w:r>
      <w:r>
        <w:rPr>
          <w:rFonts w:ascii="Times New Roman" w:hAnsi="楷体" w:eastAsia="楷体" w:cs="Times New Roman"/>
          <w:bCs/>
        </w:rPr>
        <w:t>探索引入第三方参与。</w:t>
      </w:r>
      <w:r>
        <w:rPr>
          <w:rFonts w:ascii="Times New Roman" w:hAnsi="Times New Roman" w:cs="Times New Roman"/>
        </w:rPr>
        <w:t>积极探索财政、审计、会计事务所、社会中介等第三方机构参与，针对部门情况，研究制定更为完善、科学的评价指标体系，促使部门预算绩效评价工作向纵深发展。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七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无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4D2D3"/>
    <w:multiLevelType w:val="singleLevel"/>
    <w:tmpl w:val="0034D2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5380E"/>
    <w:rsid w:val="17911950"/>
    <w:rsid w:val="1A055A28"/>
    <w:rsid w:val="22CA4A33"/>
    <w:rsid w:val="25C631ED"/>
    <w:rsid w:val="27083877"/>
    <w:rsid w:val="40B2169B"/>
    <w:rsid w:val="411B32C9"/>
    <w:rsid w:val="4EEA7B72"/>
    <w:rsid w:val="6DBE2E6B"/>
    <w:rsid w:val="763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2023-04-07T09:12:15Z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