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74" w:type="dxa"/>
        <w:jc w:val="center"/>
        <w:tblLayout w:type="fixed"/>
        <w:tblCellMar>
          <w:left w:w="28" w:type="dxa"/>
          <w:right w:w="28" w:type="dxa"/>
        </w:tblCellMar>
        <w:tblLook w:val="04A0"/>
      </w:tblPr>
      <w:tblGrid>
        <w:gridCol w:w="482"/>
        <w:gridCol w:w="635"/>
        <w:gridCol w:w="1085"/>
        <w:gridCol w:w="765"/>
        <w:gridCol w:w="2790"/>
        <w:gridCol w:w="3417"/>
      </w:tblGrid>
      <w:tr w:rsidR="00972894">
        <w:trPr>
          <w:tblHeader/>
          <w:jc w:val="center"/>
        </w:trPr>
        <w:tc>
          <w:tcPr>
            <w:tcW w:w="9174" w:type="dxa"/>
            <w:gridSpan w:val="6"/>
            <w:tcBorders>
              <w:bottom w:val="single" w:sz="4" w:space="0" w:color="auto"/>
            </w:tcBorders>
            <w:tcMar>
              <w:top w:w="10" w:type="dxa"/>
              <w:left w:w="10" w:type="dxa"/>
              <w:bottom w:w="0" w:type="dxa"/>
              <w:right w:w="10" w:type="dxa"/>
            </w:tcMar>
            <w:vAlign w:val="center"/>
          </w:tcPr>
          <w:p w:rsidR="006B63B3" w:rsidRDefault="00752FDD" w:rsidP="006B63B3">
            <w:pPr>
              <w:spacing w:afterLines="50"/>
              <w:jc w:val="left"/>
              <w:rPr>
                <w:rFonts w:ascii="黑体" w:eastAsia="黑体" w:hint="eastAsia"/>
                <w:szCs w:val="32"/>
              </w:rPr>
            </w:pPr>
            <w:r>
              <w:rPr>
                <w:rFonts w:ascii="黑体" w:eastAsia="黑体" w:hint="eastAsia"/>
                <w:szCs w:val="32"/>
              </w:rPr>
              <w:t>附件3-1：</w:t>
            </w:r>
            <w:bookmarkStart w:id="0" w:name="_GoBack"/>
            <w:bookmarkEnd w:id="0"/>
          </w:p>
          <w:p w:rsidR="00972894" w:rsidRDefault="00752FDD" w:rsidP="006B63B3">
            <w:pPr>
              <w:spacing w:afterLines="50"/>
              <w:jc w:val="center"/>
              <w:rPr>
                <w:rFonts w:ascii="黑体" w:eastAsia="黑体"/>
                <w:b/>
                <w:bCs/>
                <w:sz w:val="18"/>
                <w:szCs w:val="18"/>
              </w:rPr>
            </w:pPr>
            <w:r>
              <w:rPr>
                <w:rFonts w:ascii="黑体" w:eastAsia="黑体" w:hint="eastAsia"/>
                <w:bCs/>
                <w:sz w:val="36"/>
                <w:szCs w:val="36"/>
              </w:rPr>
              <w:t>部门整体支出绩效自评指标评分表</w:t>
            </w:r>
          </w:p>
        </w:tc>
      </w:tr>
      <w:tr w:rsidR="00972894">
        <w:trPr>
          <w:trHeight w:val="950"/>
          <w:tblHeader/>
          <w:jc w:val="center"/>
        </w:trPr>
        <w:tc>
          <w:tcPr>
            <w:tcW w:w="48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b/>
                <w:bCs/>
                <w:sz w:val="21"/>
                <w:szCs w:val="21"/>
              </w:rPr>
            </w:pPr>
            <w:r>
              <w:rPr>
                <w:rFonts w:ascii="仿宋_GB2312" w:hAnsi="仿宋_GB2312" w:cs="仿宋_GB2312" w:hint="eastAsia"/>
                <w:b/>
                <w:bCs/>
                <w:sz w:val="21"/>
                <w:szCs w:val="21"/>
              </w:rPr>
              <w:t>一级</w:t>
            </w:r>
            <w:r>
              <w:rPr>
                <w:rFonts w:ascii="仿宋_GB2312" w:hAnsi="仿宋_GB2312" w:cs="仿宋_GB2312" w:hint="eastAsia"/>
                <w:b/>
                <w:bCs/>
                <w:sz w:val="21"/>
                <w:szCs w:val="21"/>
              </w:rPr>
              <w:br/>
              <w:t>指标</w:t>
            </w:r>
          </w:p>
        </w:tc>
        <w:tc>
          <w:tcPr>
            <w:tcW w:w="63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b/>
                <w:bCs/>
                <w:sz w:val="21"/>
                <w:szCs w:val="21"/>
              </w:rPr>
            </w:pPr>
            <w:r>
              <w:rPr>
                <w:rFonts w:ascii="仿宋_GB2312" w:hAnsi="仿宋_GB2312" w:cs="仿宋_GB2312" w:hint="eastAsia"/>
                <w:b/>
                <w:bCs/>
                <w:sz w:val="21"/>
                <w:szCs w:val="21"/>
              </w:rPr>
              <w:t>二级</w:t>
            </w:r>
          </w:p>
          <w:p w:rsidR="00972894" w:rsidRDefault="00752FDD">
            <w:pPr>
              <w:jc w:val="center"/>
              <w:rPr>
                <w:rFonts w:ascii="仿宋_GB2312" w:hAnsi="仿宋_GB2312" w:cs="仿宋_GB2312"/>
                <w:b/>
                <w:bCs/>
                <w:sz w:val="21"/>
                <w:szCs w:val="21"/>
              </w:rPr>
            </w:pPr>
            <w:r>
              <w:rPr>
                <w:rFonts w:ascii="仿宋_GB2312" w:hAnsi="仿宋_GB2312" w:cs="仿宋_GB2312" w:hint="eastAsia"/>
                <w:b/>
                <w:bCs/>
                <w:sz w:val="21"/>
                <w:szCs w:val="21"/>
              </w:rPr>
              <w:t>指标</w:t>
            </w: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b/>
                <w:bCs/>
                <w:sz w:val="21"/>
                <w:szCs w:val="21"/>
              </w:rPr>
            </w:pPr>
            <w:r>
              <w:rPr>
                <w:rFonts w:ascii="仿宋_GB2312" w:hAnsi="仿宋_GB2312" w:cs="仿宋_GB2312" w:hint="eastAsia"/>
                <w:b/>
                <w:bCs/>
                <w:sz w:val="21"/>
                <w:szCs w:val="21"/>
              </w:rPr>
              <w:t>三级</w:t>
            </w:r>
          </w:p>
          <w:p w:rsidR="00972894" w:rsidRDefault="00752FDD">
            <w:pPr>
              <w:jc w:val="center"/>
              <w:rPr>
                <w:rFonts w:ascii="仿宋_GB2312" w:hAnsi="仿宋_GB2312" w:cs="仿宋_GB2312"/>
                <w:b/>
                <w:bCs/>
                <w:sz w:val="21"/>
                <w:szCs w:val="21"/>
              </w:rPr>
            </w:pPr>
            <w:r>
              <w:rPr>
                <w:rFonts w:ascii="仿宋_GB2312" w:hAnsi="仿宋_GB2312" w:cs="仿宋_GB2312" w:hint="eastAsia"/>
                <w:b/>
                <w:bCs/>
                <w:sz w:val="21"/>
                <w:szCs w:val="21"/>
              </w:rPr>
              <w:t>指标</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b/>
                <w:bCs/>
                <w:sz w:val="21"/>
                <w:szCs w:val="21"/>
              </w:rPr>
            </w:pPr>
            <w:r>
              <w:rPr>
                <w:rFonts w:ascii="仿宋_GB2312" w:hAnsi="仿宋_GB2312" w:cs="仿宋_GB2312" w:hint="eastAsia"/>
                <w:b/>
                <w:bCs/>
                <w:sz w:val="21"/>
                <w:szCs w:val="21"/>
              </w:rPr>
              <w:t>自评分</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b/>
                <w:bCs/>
                <w:sz w:val="21"/>
                <w:szCs w:val="21"/>
              </w:rPr>
            </w:pPr>
            <w:r>
              <w:rPr>
                <w:rFonts w:ascii="仿宋_GB2312" w:hAnsi="仿宋_GB2312" w:cs="仿宋_GB2312" w:hint="eastAsia"/>
                <w:b/>
                <w:bCs/>
                <w:sz w:val="21"/>
                <w:szCs w:val="21"/>
              </w:rPr>
              <w:t>指标解释</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b/>
                <w:bCs/>
                <w:sz w:val="21"/>
                <w:szCs w:val="21"/>
              </w:rPr>
            </w:pPr>
            <w:r>
              <w:rPr>
                <w:rFonts w:ascii="仿宋_GB2312" w:hAnsi="仿宋_GB2312" w:cs="仿宋_GB2312" w:hint="eastAsia"/>
                <w:b/>
                <w:bCs/>
                <w:sz w:val="21"/>
                <w:szCs w:val="21"/>
              </w:rPr>
              <w:t>指标说明</w:t>
            </w:r>
          </w:p>
        </w:tc>
      </w:tr>
      <w:tr w:rsidR="00972894">
        <w:trPr>
          <w:trHeight w:val="1491"/>
          <w:jc w:val="center"/>
        </w:trPr>
        <w:tc>
          <w:tcPr>
            <w:tcW w:w="48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投   入（20分）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目标</w:t>
            </w:r>
            <w:r>
              <w:rPr>
                <w:rFonts w:ascii="仿宋_GB2312" w:hAnsi="仿宋_GB2312" w:cs="仿宋_GB2312" w:hint="eastAsia"/>
                <w:sz w:val="21"/>
                <w:szCs w:val="21"/>
              </w:rPr>
              <w:br/>
              <w:t>设定（5分）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绩效目标合理性（2分）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Pr="00B6638E"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rsidP="006B63B3">
            <w:pPr>
              <w:spacing w:beforeLines="50" w:afterLines="50"/>
              <w:rPr>
                <w:rFonts w:ascii="仿宋_GB2312" w:hAnsi="仿宋_GB2312" w:cs="仿宋_GB2312"/>
                <w:sz w:val="21"/>
                <w:szCs w:val="21"/>
              </w:rPr>
            </w:pPr>
            <w:r>
              <w:rPr>
                <w:rFonts w:ascii="仿宋_GB2312" w:hAnsi="仿宋_GB2312" w:cs="仿宋_GB2312" w:hint="eastAsia"/>
                <w:sz w:val="21"/>
                <w:szCs w:val="21"/>
              </w:rPr>
              <w:t>①符合国家法律法规、国民经济和社会发展总体规划计1分；②符合部门“三定”方案确定的职责计0.5分；③是否符合部门制定的中长期实施规划计0.5分。</w:t>
            </w:r>
          </w:p>
        </w:tc>
      </w:tr>
      <w:tr w:rsidR="00972894">
        <w:trPr>
          <w:trHeight w:val="1674"/>
          <w:jc w:val="center"/>
        </w:trPr>
        <w:tc>
          <w:tcPr>
            <w:tcW w:w="482"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绩效指标明确性（3分）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3</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部门依据整体绩效目标所设定的绩效指标是否清晰、细化、可衡量，用以反映和考核部门整体绩效目标的明细化情况。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rsidP="006B63B3">
            <w:pPr>
              <w:spacing w:beforeLines="50" w:afterLines="50"/>
              <w:rPr>
                <w:rFonts w:ascii="仿宋_GB2312" w:hAnsi="仿宋_GB2312" w:cs="仿宋_GB2312"/>
                <w:sz w:val="21"/>
                <w:szCs w:val="21"/>
              </w:rPr>
            </w:pPr>
            <w:r>
              <w:rPr>
                <w:rFonts w:ascii="仿宋_GB2312" w:hAnsi="仿宋_GB2312" w:cs="仿宋_GB2312" w:hint="eastAsia"/>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rsidR="00972894">
        <w:trPr>
          <w:trHeight w:val="1548"/>
          <w:jc w:val="center"/>
        </w:trPr>
        <w:tc>
          <w:tcPr>
            <w:tcW w:w="482"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预算</w:t>
            </w:r>
            <w:r>
              <w:rPr>
                <w:rFonts w:ascii="仿宋_GB2312" w:hAnsi="仿宋_GB2312" w:cs="仿宋_GB2312" w:hint="eastAsia"/>
                <w:sz w:val="21"/>
                <w:szCs w:val="21"/>
              </w:rPr>
              <w:br/>
              <w:t>配置（15分）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在职人员控制率（5分）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部门本年度实际在职人员数与编制数的比率，用以反映和考核部门对人员成本的控制程度。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rsidP="006B63B3">
            <w:pPr>
              <w:spacing w:beforeLines="50" w:afterLines="50"/>
              <w:rPr>
                <w:rFonts w:ascii="仿宋_GB2312" w:hAnsi="仿宋_GB2312" w:cs="仿宋_GB2312"/>
                <w:sz w:val="21"/>
                <w:szCs w:val="21"/>
              </w:rPr>
            </w:pPr>
            <w:r>
              <w:rPr>
                <w:rFonts w:ascii="仿宋_GB2312" w:hAnsi="仿宋_GB2312" w:cs="仿宋_GB2312" w:hint="eastAsia"/>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rsidR="00972894">
        <w:trPr>
          <w:trHeight w:val="1856"/>
          <w:jc w:val="center"/>
        </w:trPr>
        <w:tc>
          <w:tcPr>
            <w:tcW w:w="482"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“三公经费”变动率（5分）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rsidP="006B63B3">
            <w:pPr>
              <w:spacing w:beforeLines="50" w:afterLines="50"/>
              <w:rPr>
                <w:rFonts w:ascii="仿宋_GB2312" w:hAnsi="仿宋_GB2312" w:cs="仿宋_GB2312"/>
                <w:sz w:val="21"/>
                <w:szCs w:val="21"/>
              </w:rPr>
            </w:pPr>
            <w:r>
              <w:rPr>
                <w:rFonts w:ascii="仿宋_GB2312" w:hAnsi="仿宋_GB2312" w:cs="仿宋_GB2312" w:hint="eastAsia"/>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rsidR="00972894">
        <w:trPr>
          <w:trHeight w:val="2218"/>
          <w:jc w:val="center"/>
        </w:trPr>
        <w:tc>
          <w:tcPr>
            <w:tcW w:w="482"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重点支出安排率（5分）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rsidP="006B63B3">
            <w:pPr>
              <w:spacing w:beforeLines="50" w:afterLines="50"/>
              <w:rPr>
                <w:rFonts w:ascii="仿宋_GB2312" w:hAnsi="仿宋_GB2312" w:cs="仿宋_GB2312"/>
                <w:sz w:val="21"/>
                <w:szCs w:val="21"/>
              </w:rPr>
            </w:pPr>
            <w:r>
              <w:rPr>
                <w:rFonts w:ascii="仿宋_GB2312" w:hAnsi="仿宋_GB2312" w:cs="仿宋_GB2312" w:hint="eastAsia"/>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rsidR="00972894">
        <w:trPr>
          <w:trHeight w:val="529"/>
          <w:jc w:val="center"/>
        </w:trPr>
        <w:tc>
          <w:tcPr>
            <w:tcW w:w="48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过             程（30分）</w:t>
            </w:r>
          </w:p>
        </w:tc>
        <w:tc>
          <w:tcPr>
            <w:tcW w:w="635" w:type="dxa"/>
            <w:vMerge w:val="restart"/>
            <w:tcBorders>
              <w:top w:val="nil"/>
              <w:left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预算执行（20分）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预算完成率(4分)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部门本年度预算完成数与预算数的比率，用以反映和考核部门预算完成程度。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rsidP="006B63B3">
            <w:pPr>
              <w:spacing w:beforeLines="20" w:afterLines="20"/>
              <w:rPr>
                <w:rFonts w:ascii="仿宋_GB2312" w:hAnsi="仿宋_GB2312" w:cs="仿宋_GB2312"/>
                <w:sz w:val="21"/>
                <w:szCs w:val="21"/>
              </w:rPr>
            </w:pPr>
            <w:r>
              <w:rPr>
                <w:rFonts w:ascii="仿宋_GB2312" w:hAnsi="仿宋_GB2312" w:cs="仿宋_GB2312" w:hint="eastAsia"/>
                <w:sz w:val="21"/>
                <w:szCs w:val="21"/>
              </w:rPr>
              <w:t>预算完成率=（预算完成数/预算数）×100%。完成年初预算计4分，未完成年初预算按比例扣减，预算完成数：部门本年度实际完成的预算数。预算数：财政部门批复的本年度部门预算数。</w:t>
            </w:r>
          </w:p>
        </w:tc>
      </w:tr>
      <w:tr w:rsidR="00972894">
        <w:trPr>
          <w:trHeight w:val="1391"/>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972894" w:rsidRDefault="00972894">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972894" w:rsidRDefault="00972894">
            <w:pPr>
              <w:jc w:val="cente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预算调整率（2分）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1.5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部门本年度预算调整数与预算数的比率，用以反映和考核部门预算的调整程度。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rsidP="006B63B3">
            <w:pPr>
              <w:spacing w:beforeLines="20" w:afterLines="20"/>
              <w:rPr>
                <w:rFonts w:ascii="仿宋_GB2312" w:hAnsi="仿宋_GB2312" w:cs="仿宋_GB2312"/>
                <w:sz w:val="21"/>
                <w:szCs w:val="21"/>
              </w:rPr>
            </w:pPr>
            <w:r>
              <w:rPr>
                <w:rFonts w:ascii="仿宋_GB2312" w:hAnsi="仿宋_GB2312" w:cs="仿宋_GB2312" w:hint="eastAsia"/>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rsidR="00972894" w:rsidTr="006B63B3">
        <w:trPr>
          <w:trHeight w:val="1281"/>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972894" w:rsidRDefault="00972894">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972894" w:rsidRDefault="00972894">
            <w:pPr>
              <w:jc w:val="cente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支付进度率（2分）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1.5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部门实际支付进度与既定支付进度的比率，用以反映和考核部门预算执行的及时性和均衡性程度。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rsidP="006B63B3">
            <w:pPr>
              <w:spacing w:beforeLines="20" w:afterLines="20"/>
              <w:rPr>
                <w:rFonts w:ascii="仿宋_GB2312" w:hAnsi="仿宋_GB2312" w:cs="仿宋_GB2312"/>
                <w:sz w:val="21"/>
                <w:szCs w:val="21"/>
              </w:rPr>
            </w:pPr>
            <w:r>
              <w:rPr>
                <w:rFonts w:ascii="仿宋_GB2312" w:hAnsi="仿宋_GB2312" w:cs="仿宋_GB2312" w:hint="eastAsia"/>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w:t>
            </w:r>
            <w:r>
              <w:rPr>
                <w:rFonts w:ascii="仿宋_GB2312" w:hAnsi="仿宋_GB2312" w:cs="仿宋_GB2312" w:hint="eastAsia"/>
                <w:sz w:val="21"/>
                <w:szCs w:val="21"/>
              </w:rPr>
              <w:lastRenderedPageBreak/>
              <w:t>进度、前三年支付进度、同级部门平均支付进度水平等确定的，在某一时点应达到的支付进度（比率）。</w:t>
            </w:r>
          </w:p>
        </w:tc>
      </w:tr>
      <w:tr w:rsidR="00972894">
        <w:trPr>
          <w:trHeight w:val="315"/>
          <w:jc w:val="center"/>
        </w:trPr>
        <w:tc>
          <w:tcPr>
            <w:tcW w:w="482" w:type="dxa"/>
            <w:vMerge/>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972894" w:rsidRDefault="00972894">
            <w:pPr>
              <w:jc w:val="center"/>
              <w:rPr>
                <w:rFonts w:ascii="仿宋_GB2312" w:hAnsi="仿宋_GB2312" w:cs="仿宋_GB2312"/>
                <w:sz w:val="21"/>
                <w:szCs w:val="21"/>
              </w:rPr>
            </w:pPr>
          </w:p>
        </w:tc>
        <w:tc>
          <w:tcPr>
            <w:tcW w:w="635" w:type="dxa"/>
            <w:vMerge/>
            <w:tcBorders>
              <w:left w:val="single" w:sz="4" w:space="0" w:color="auto"/>
              <w:right w:val="single" w:sz="4" w:space="0" w:color="auto"/>
            </w:tcBorders>
            <w:tcMar>
              <w:top w:w="10" w:type="dxa"/>
              <w:left w:w="10" w:type="dxa"/>
              <w:bottom w:w="0" w:type="dxa"/>
              <w:right w:w="10" w:type="dxa"/>
            </w:tcMar>
            <w:vAlign w:val="center"/>
          </w:tcPr>
          <w:p w:rsidR="00972894" w:rsidRDefault="00972894">
            <w:pPr>
              <w:jc w:val="cente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结转结余控制率（4分）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部门本年度结转结余总额与上年结转结余总额增减比例，用以反映和考核部门对存量资金的实际控制程度。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72894" w:rsidRDefault="00752FDD">
            <w:pPr>
              <w:rPr>
                <w:rFonts w:ascii="仿宋_GB2312" w:hAnsi="仿宋_GB2312" w:cs="仿宋_GB2312"/>
                <w:sz w:val="21"/>
                <w:szCs w:val="21"/>
              </w:rPr>
            </w:pPr>
            <w:r>
              <w:rPr>
                <w:rFonts w:ascii="仿宋_GB2312" w:hAnsi="仿宋_GB2312" w:cs="仿宋_GB2312" w:hint="eastAsia"/>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rsidR="00972894">
        <w:trPr>
          <w:trHeight w:val="1229"/>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972894" w:rsidRDefault="00972894">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公用经费控制率（2分）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部门本年度实际支出的公用经费总额与预算安排的公用经费总额的比率，用以反映和考核部门对机构运转成本的实际控制程度。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72894" w:rsidRDefault="00752FDD">
            <w:pPr>
              <w:rPr>
                <w:rFonts w:ascii="仿宋_GB2312" w:hAnsi="仿宋_GB2312" w:cs="仿宋_GB2312"/>
                <w:sz w:val="21"/>
                <w:szCs w:val="21"/>
              </w:rPr>
            </w:pPr>
            <w:r>
              <w:rPr>
                <w:rFonts w:ascii="仿宋_GB2312" w:hAnsi="仿宋_GB2312" w:cs="仿宋_GB2312" w:hint="eastAsia"/>
                <w:sz w:val="21"/>
                <w:szCs w:val="21"/>
              </w:rPr>
              <w:t>公用经费控制率=（实际支出公用经费总额/预算安排公用经费总额）×100%。为100%的计2分，每超过1个百分点扣0.1分，扣完为止。</w:t>
            </w:r>
          </w:p>
        </w:tc>
      </w:tr>
      <w:tr w:rsidR="00972894">
        <w:trPr>
          <w:trHeight w:val="1090"/>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972894" w:rsidRDefault="00972894">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“三公经费”控制率（2分）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部门本年度“三公经费”实际支出数与预算安排数的比率，用以反映和考核部门对“三公经费”的实际控制程度。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72894" w:rsidRDefault="00752FDD">
            <w:pPr>
              <w:rPr>
                <w:rFonts w:ascii="仿宋_GB2312" w:hAnsi="仿宋_GB2312" w:cs="仿宋_GB2312"/>
                <w:sz w:val="21"/>
                <w:szCs w:val="21"/>
              </w:rPr>
            </w:pPr>
            <w:r>
              <w:rPr>
                <w:rFonts w:ascii="仿宋_GB2312" w:hAnsi="仿宋_GB2312" w:cs="仿宋_GB2312" w:hint="eastAsia"/>
                <w:sz w:val="21"/>
                <w:szCs w:val="21"/>
              </w:rPr>
              <w:t>“三公经费”控制率=（“三公经费”实际支出数/“三公经费”预算安排数）×100%。为100%的计2分，每超过1个百分点扣0.5分，扣完为止。</w:t>
            </w:r>
          </w:p>
        </w:tc>
      </w:tr>
      <w:tr w:rsidR="00972894">
        <w:trPr>
          <w:trHeight w:val="287"/>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972894" w:rsidRDefault="00972894">
            <w:pPr>
              <w:jc w:val="center"/>
              <w:rPr>
                <w:rFonts w:ascii="仿宋_GB2312" w:hAnsi="仿宋_GB2312" w:cs="仿宋_GB2312"/>
                <w:sz w:val="21"/>
                <w:szCs w:val="21"/>
              </w:rPr>
            </w:pPr>
          </w:p>
        </w:tc>
        <w:tc>
          <w:tcPr>
            <w:tcW w:w="635" w:type="dxa"/>
            <w:vMerge/>
            <w:tcBorders>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政府采购执行率（4分）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部门本年度实际政府采购金额与年初政府采购预算的比率，用以反映和考核部门政府采购预算执行情况。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rPr>
                <w:rFonts w:ascii="仿宋_GB2312" w:hAnsi="仿宋_GB2312" w:cs="仿宋_GB2312"/>
                <w:sz w:val="21"/>
                <w:szCs w:val="21"/>
              </w:rPr>
            </w:pPr>
            <w:r>
              <w:rPr>
                <w:rFonts w:ascii="仿宋_GB2312" w:hAnsi="仿宋_GB2312" w:cs="仿宋_GB2312" w:hint="eastAsia"/>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rsidR="00972894" w:rsidTr="006B63B3">
        <w:trPr>
          <w:trHeight w:val="431"/>
          <w:jc w:val="center"/>
        </w:trPr>
        <w:tc>
          <w:tcPr>
            <w:tcW w:w="482" w:type="dxa"/>
            <w:vMerge w:val="restart"/>
            <w:tcBorders>
              <w:top w:val="single" w:sz="4" w:space="0" w:color="auto"/>
              <w:left w:val="single" w:sz="4" w:space="0" w:color="auto"/>
              <w:right w:val="single" w:sz="4" w:space="0" w:color="auto"/>
            </w:tcBorders>
            <w:textDirection w:val="tbRlV"/>
            <w:vAlign w:val="center"/>
          </w:tcPr>
          <w:p w:rsidR="00972894" w:rsidRDefault="00752FDD">
            <w:pPr>
              <w:ind w:left="113" w:right="113"/>
              <w:jc w:val="center"/>
              <w:rPr>
                <w:rFonts w:ascii="仿宋_GB2312" w:hAnsi="仿宋_GB2312" w:cs="仿宋_GB2312"/>
                <w:sz w:val="21"/>
                <w:szCs w:val="21"/>
              </w:rPr>
            </w:pPr>
            <w:r>
              <w:rPr>
                <w:rFonts w:ascii="仿宋_GB2312" w:hAnsi="仿宋_GB2312" w:cs="仿宋_GB2312" w:hint="eastAsia"/>
                <w:sz w:val="21"/>
                <w:szCs w:val="21"/>
              </w:rPr>
              <w:t>过             程（30分）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 xml:space="preserve">         预算</w:t>
            </w:r>
          </w:p>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管理</w:t>
            </w:r>
          </w:p>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（5分）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管理制度健全性（2分）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部门为加强预算管理、规范财务行为而制定的管理制度是否健全完整，用以反映和考核部门预算管理制度对完成主要职责或促进事业发展的保障情</w:t>
            </w:r>
            <w:r>
              <w:rPr>
                <w:rFonts w:ascii="仿宋_GB2312" w:hAnsi="仿宋_GB2312" w:cs="仿宋_GB2312" w:hint="eastAsia"/>
                <w:sz w:val="21"/>
                <w:szCs w:val="21"/>
              </w:rPr>
              <w:lastRenderedPageBreak/>
              <w:t>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rPr>
                <w:rFonts w:ascii="仿宋_GB2312" w:hAnsi="仿宋_GB2312" w:cs="仿宋_GB2312"/>
                <w:sz w:val="21"/>
                <w:szCs w:val="21"/>
              </w:rPr>
            </w:pPr>
            <w:r>
              <w:rPr>
                <w:rFonts w:ascii="仿宋_GB2312" w:hAnsi="仿宋_GB2312" w:cs="仿宋_GB2312" w:hint="eastAsia"/>
                <w:sz w:val="21"/>
                <w:szCs w:val="21"/>
              </w:rPr>
              <w:lastRenderedPageBreak/>
              <w:t>已制定或具有预算资金管理办法、内部财务管理制度、会计核算制度等管理制度计1分；相关管理制度合法、合规、完整计0.5分；相关管理制度得到有效执行计0.5分。</w:t>
            </w:r>
          </w:p>
        </w:tc>
      </w:tr>
      <w:tr w:rsidR="00972894">
        <w:trPr>
          <w:trHeight w:val="2001"/>
          <w:jc w:val="center"/>
        </w:trPr>
        <w:tc>
          <w:tcPr>
            <w:tcW w:w="482" w:type="dxa"/>
            <w:vMerge/>
            <w:tcBorders>
              <w:left w:val="single" w:sz="4" w:space="0" w:color="auto"/>
              <w:right w:val="single" w:sz="4" w:space="0" w:color="auto"/>
            </w:tcBorders>
            <w:vAlign w:val="center"/>
          </w:tcPr>
          <w:p w:rsidR="00972894" w:rsidRDefault="00972894">
            <w:pPr>
              <w:jc w:val="cente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资金使用合规性（1分）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部门使用预算资金是否符合相关的预算财务管理制度的规定，用以反映和考核部门预算资金的规范运行情况。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rPr>
                <w:rFonts w:ascii="仿宋_GB2312" w:hAnsi="仿宋_GB2312" w:cs="仿宋_GB2312"/>
                <w:sz w:val="21"/>
                <w:szCs w:val="21"/>
              </w:rPr>
            </w:pPr>
            <w:r>
              <w:rPr>
                <w:rFonts w:ascii="仿宋_GB2312" w:hAnsi="仿宋_GB2312" w:cs="仿宋_GB2312" w:hint="eastAsia"/>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rsidR="00972894">
        <w:trPr>
          <w:trHeight w:val="1391"/>
          <w:jc w:val="center"/>
        </w:trPr>
        <w:tc>
          <w:tcPr>
            <w:tcW w:w="482" w:type="dxa"/>
            <w:vMerge/>
            <w:tcBorders>
              <w:left w:val="single" w:sz="4" w:space="0" w:color="auto"/>
              <w:right w:val="single" w:sz="4" w:space="0" w:color="auto"/>
            </w:tcBorders>
            <w:vAlign w:val="center"/>
          </w:tcPr>
          <w:p w:rsidR="00972894" w:rsidRDefault="00972894">
            <w:pPr>
              <w:jc w:val="cente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预决算信息公开性（1分）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部门是否按照政府信息公开有关规定公开相关预决算信息，用以反映和考核部门预决算管理的公开透明情况。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rPr>
                <w:rFonts w:ascii="仿宋_GB2312" w:hAnsi="仿宋_GB2312" w:cs="仿宋_GB2312"/>
                <w:sz w:val="21"/>
                <w:szCs w:val="21"/>
              </w:rPr>
            </w:pPr>
            <w:r>
              <w:rPr>
                <w:rFonts w:ascii="仿宋_GB2312" w:hAnsi="仿宋_GB2312" w:cs="仿宋_GB2312" w:hint="eastAsia"/>
                <w:sz w:val="21"/>
                <w:szCs w:val="21"/>
              </w:rPr>
              <w:t>①按规定内容公开预决算信息计0.5分；②按规定时限公开预决算信息计0.5分。预决算信息是指与部门预算、执行、决算、监督、绩效等管理相关的信息。</w:t>
            </w:r>
          </w:p>
        </w:tc>
      </w:tr>
      <w:tr w:rsidR="00972894">
        <w:trPr>
          <w:trHeight w:val="1395"/>
          <w:jc w:val="center"/>
        </w:trPr>
        <w:tc>
          <w:tcPr>
            <w:tcW w:w="482" w:type="dxa"/>
            <w:vMerge/>
            <w:tcBorders>
              <w:left w:val="single" w:sz="4" w:space="0" w:color="auto"/>
              <w:right w:val="single" w:sz="4" w:space="0" w:color="auto"/>
            </w:tcBorders>
            <w:vAlign w:val="center"/>
          </w:tcPr>
          <w:p w:rsidR="00972894" w:rsidRDefault="00972894">
            <w:pPr>
              <w:jc w:val="cente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基础信息完善性（1分）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部门基础信息是否完善，用以反映和考核基础信息对预算管理工作的支撑情况。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rPr>
                <w:rFonts w:ascii="仿宋_GB2312" w:hAnsi="仿宋_GB2312" w:cs="仿宋_GB2312"/>
                <w:sz w:val="21"/>
                <w:szCs w:val="21"/>
              </w:rPr>
            </w:pPr>
            <w:r>
              <w:rPr>
                <w:rFonts w:ascii="仿宋_GB2312" w:hAnsi="仿宋_GB2312" w:cs="仿宋_GB2312" w:hint="eastAsia"/>
                <w:sz w:val="21"/>
                <w:szCs w:val="21"/>
              </w:rPr>
              <w:t>①基础数据信息和会计信息资料真实计0.4分；②基础数据信息和会计信息资料完整计0.3分；③基础数据信息和会计信息资料准确计0.3分。</w:t>
            </w:r>
          </w:p>
        </w:tc>
      </w:tr>
      <w:tr w:rsidR="00972894">
        <w:trPr>
          <w:trHeight w:val="90"/>
          <w:jc w:val="center"/>
        </w:trPr>
        <w:tc>
          <w:tcPr>
            <w:tcW w:w="482" w:type="dxa"/>
            <w:vMerge/>
            <w:tcBorders>
              <w:left w:val="single" w:sz="4" w:space="0" w:color="auto"/>
              <w:right w:val="single" w:sz="4" w:space="0" w:color="auto"/>
            </w:tcBorders>
            <w:tcMar>
              <w:top w:w="10" w:type="dxa"/>
              <w:left w:w="10" w:type="dxa"/>
              <w:bottom w:w="0" w:type="dxa"/>
              <w:right w:w="10" w:type="dxa"/>
            </w:tcMar>
            <w:textDirection w:val="tbRlV"/>
            <w:vAlign w:val="center"/>
          </w:tcPr>
          <w:p w:rsidR="00972894" w:rsidRDefault="00972894">
            <w:pPr>
              <w:jc w:val="center"/>
              <w:rPr>
                <w:rFonts w:ascii="仿宋_GB2312" w:hAnsi="仿宋_GB2312" w:cs="仿宋_GB2312"/>
                <w:sz w:val="21"/>
                <w:szCs w:val="21"/>
              </w:rPr>
            </w:pPr>
          </w:p>
        </w:tc>
        <w:tc>
          <w:tcPr>
            <w:tcW w:w="635" w:type="dxa"/>
            <w:vMerge w:val="restart"/>
            <w:tcBorders>
              <w:top w:val="nil"/>
              <w:left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资产</w:t>
            </w:r>
            <w:r>
              <w:rPr>
                <w:rFonts w:ascii="仿宋_GB2312" w:hAnsi="仿宋_GB2312" w:cs="仿宋_GB2312" w:hint="eastAsia"/>
                <w:sz w:val="21"/>
                <w:szCs w:val="21"/>
              </w:rPr>
              <w:br/>
              <w:t>管理</w:t>
            </w:r>
          </w:p>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（5分）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管理制度健全性（2分）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rPr>
                <w:rFonts w:ascii="仿宋_GB2312" w:hAnsi="仿宋_GB2312" w:cs="仿宋_GB2312"/>
                <w:sz w:val="21"/>
                <w:szCs w:val="21"/>
              </w:rPr>
            </w:pPr>
            <w:r>
              <w:rPr>
                <w:rFonts w:ascii="仿宋_GB2312" w:hAnsi="仿宋_GB2312" w:cs="仿宋_GB2312" w:hint="eastAsia"/>
                <w:sz w:val="21"/>
                <w:szCs w:val="21"/>
              </w:rPr>
              <w:t>①制定或具有资产管理制度计1分；②相关资金管理制度合法、合规、完整计0.5分；③相关资产管理制度得到有效执行计0.5分。</w:t>
            </w:r>
          </w:p>
        </w:tc>
      </w:tr>
      <w:tr w:rsidR="00972894">
        <w:trPr>
          <w:trHeight w:val="1532"/>
          <w:jc w:val="center"/>
        </w:trPr>
        <w:tc>
          <w:tcPr>
            <w:tcW w:w="482" w:type="dxa"/>
            <w:vMerge/>
            <w:tcBorders>
              <w:left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972894" w:rsidRDefault="00972894">
            <w:pPr>
              <w:jc w:val="cente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资产管理安全性（2分）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761"/>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761"/>
                <w:tab w:val="left" w:pos="2604"/>
              </w:tabs>
              <w:rPr>
                <w:rFonts w:ascii="仿宋_GB2312" w:hAnsi="仿宋_GB2312" w:cs="仿宋_GB2312"/>
                <w:sz w:val="21"/>
                <w:szCs w:val="21"/>
              </w:rPr>
            </w:pPr>
            <w:r>
              <w:rPr>
                <w:rFonts w:ascii="仿宋_GB2312" w:hAnsi="仿宋_GB2312" w:cs="仿宋_GB2312" w:hint="eastAsia"/>
                <w:sz w:val="21"/>
                <w:szCs w:val="21"/>
              </w:rPr>
              <w:t>部门的资产是否保存完整、使用合规、配置合理、处置规范、收入及时足额上缴，用以反映和考核部门资产安全运行情况。</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72894" w:rsidRDefault="00752FDD">
            <w:pPr>
              <w:rPr>
                <w:rFonts w:ascii="仿宋_GB2312" w:hAnsi="仿宋_GB2312" w:cs="仿宋_GB2312"/>
                <w:sz w:val="21"/>
                <w:szCs w:val="21"/>
              </w:rPr>
            </w:pPr>
            <w:r>
              <w:rPr>
                <w:rFonts w:ascii="仿宋_GB2312" w:hAnsi="仿宋_GB2312" w:cs="仿宋_GB2312" w:hint="eastAsia"/>
                <w:sz w:val="21"/>
                <w:szCs w:val="21"/>
              </w:rPr>
              <w:t>①资产保存完整计0.4分；②资产配置合理计0.4分；③资产处置规范计0.4分；④资产账务管理合规、帐实相符计0.4分；⑤资产有偿使用及处置收入及时足额上缴计0.4分。</w:t>
            </w:r>
          </w:p>
        </w:tc>
      </w:tr>
      <w:tr w:rsidR="00972894">
        <w:trPr>
          <w:trHeight w:val="1110"/>
          <w:jc w:val="center"/>
        </w:trPr>
        <w:tc>
          <w:tcPr>
            <w:tcW w:w="482" w:type="dxa"/>
            <w:vMerge/>
            <w:tcBorders>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635" w:type="dxa"/>
            <w:vMerge/>
            <w:tcBorders>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固定资产利用率（1分）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部门实际在用固定资产总额与所有固定资产总额的比率，用以反映和考核部门固定资产使用效率程度。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72894" w:rsidRDefault="00752FDD">
            <w:pPr>
              <w:rPr>
                <w:rFonts w:ascii="仿宋_GB2312" w:hAnsi="仿宋_GB2312" w:cs="仿宋_GB2312"/>
                <w:sz w:val="21"/>
                <w:szCs w:val="21"/>
              </w:rPr>
            </w:pPr>
            <w:r>
              <w:rPr>
                <w:rFonts w:ascii="仿宋_GB2312" w:hAnsi="仿宋_GB2312" w:cs="仿宋_GB2312" w:hint="eastAsia"/>
                <w:sz w:val="21"/>
                <w:szCs w:val="21"/>
              </w:rPr>
              <w:t>固定资产利用率=（实际在用固定资产总额/所有固定资产总额）×100%。利用率为100%的计1分，每降1个百分点扣0.1分，扣完为止。</w:t>
            </w:r>
          </w:p>
        </w:tc>
      </w:tr>
      <w:tr w:rsidR="00972894">
        <w:trPr>
          <w:trHeight w:val="832"/>
          <w:jc w:val="center"/>
        </w:trPr>
        <w:tc>
          <w:tcPr>
            <w:tcW w:w="48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产   出（30分）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职责</w:t>
            </w:r>
            <w:r>
              <w:rPr>
                <w:rFonts w:ascii="仿宋_GB2312" w:hAnsi="仿宋_GB2312" w:cs="仿宋_GB2312" w:hint="eastAsia"/>
                <w:sz w:val="21"/>
                <w:szCs w:val="21"/>
              </w:rPr>
              <w:br/>
              <w:t>履行</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实际完成率（8分）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8</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部门履行职责而实际完成工作数与计划工作数的比率，用以反映和考核部门履职工作任务目标的实现程度。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rPr>
                <w:rFonts w:ascii="仿宋_GB2312" w:hAnsi="仿宋_GB2312" w:cs="仿宋_GB2312"/>
                <w:sz w:val="21"/>
                <w:szCs w:val="21"/>
              </w:rPr>
            </w:pPr>
            <w:r>
              <w:rPr>
                <w:rFonts w:ascii="仿宋_GB2312" w:hAnsi="仿宋_GB2312" w:cs="仿宋_GB2312" w:hint="eastAsia"/>
                <w:sz w:val="21"/>
                <w:szCs w:val="21"/>
              </w:rPr>
              <w:t>实际完成率得分=完成市委市政府绩效考核得分或上级主管部门考核指标得分/指标分值*8分</w:t>
            </w:r>
          </w:p>
        </w:tc>
      </w:tr>
      <w:tr w:rsidR="00972894">
        <w:trPr>
          <w:trHeight w:val="1092"/>
          <w:jc w:val="center"/>
        </w:trPr>
        <w:tc>
          <w:tcPr>
            <w:tcW w:w="482"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完成及时率（4分）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部门在规定时限内及时完成的实际工作数与计划工作数的比率,用以反映和考核部门履职时效目标的实现程度。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rPr>
                <w:rFonts w:ascii="仿宋_GB2312" w:hAnsi="仿宋_GB2312" w:cs="仿宋_GB2312"/>
                <w:sz w:val="21"/>
                <w:szCs w:val="21"/>
              </w:rPr>
            </w:pPr>
            <w:r>
              <w:rPr>
                <w:rFonts w:ascii="仿宋_GB2312" w:hAnsi="仿宋_GB2312" w:cs="仿宋_GB2312" w:hint="eastAsia"/>
                <w:sz w:val="21"/>
                <w:szCs w:val="21"/>
              </w:rPr>
              <w:t>完成及时率=（及时完成实际工作数/计划工作数）×100%。1-4季度各得1分</w:t>
            </w:r>
            <w:r>
              <w:rPr>
                <w:rFonts w:ascii="仿宋_GB2312" w:hAnsi="仿宋_GB2312" w:cs="仿宋_GB2312" w:hint="eastAsia"/>
                <w:sz w:val="21"/>
                <w:szCs w:val="21"/>
              </w:rPr>
              <w:br/>
            </w:r>
          </w:p>
        </w:tc>
      </w:tr>
      <w:tr w:rsidR="00972894">
        <w:trPr>
          <w:trHeight w:val="362"/>
          <w:jc w:val="center"/>
        </w:trPr>
        <w:tc>
          <w:tcPr>
            <w:tcW w:w="482"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质量达标率（8分）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8</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达到质量标准（绩效标准值）的实际工作数与计划工作数的比率,用以反映和考核部门履职质量目标的实现程度。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rPr>
                <w:rFonts w:ascii="仿宋_GB2312" w:hAnsi="仿宋_GB2312" w:cs="仿宋_GB2312"/>
                <w:sz w:val="21"/>
                <w:szCs w:val="21"/>
              </w:rPr>
            </w:pPr>
            <w:r>
              <w:rPr>
                <w:rFonts w:ascii="仿宋_GB2312" w:hAnsi="仿宋_GB2312" w:cs="仿宋_GB2312" w:hint="eastAsia"/>
                <w:sz w:val="21"/>
                <w:szCs w:val="21"/>
              </w:rPr>
              <w:t>质量达标率=（质量达标实际工作数/计划工作数）×100%。实际得分=达标率*8分</w:t>
            </w:r>
          </w:p>
        </w:tc>
      </w:tr>
      <w:tr w:rsidR="00972894">
        <w:trPr>
          <w:trHeight w:val="1107"/>
          <w:jc w:val="center"/>
        </w:trPr>
        <w:tc>
          <w:tcPr>
            <w:tcW w:w="482"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重点工作办结率（10分）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10</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部门年度重点工作实际完成数与交办或下达数的比率，用以反映部门对重点工作的办理落实程度。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rPr>
                <w:rFonts w:ascii="仿宋_GB2312" w:hAnsi="仿宋_GB2312" w:cs="仿宋_GB2312"/>
                <w:sz w:val="21"/>
                <w:szCs w:val="21"/>
              </w:rPr>
            </w:pPr>
            <w:r>
              <w:rPr>
                <w:rFonts w:ascii="仿宋_GB2312" w:hAnsi="仿宋_GB2312" w:cs="仿宋_GB2312" w:hint="eastAsia"/>
                <w:sz w:val="21"/>
                <w:szCs w:val="21"/>
              </w:rPr>
              <w:t>重点工作办结率=（重点工作实际完成数/交办或下达数）×100%。实际得分=办结率*10分</w:t>
            </w:r>
          </w:p>
        </w:tc>
      </w:tr>
      <w:tr w:rsidR="00972894">
        <w:trPr>
          <w:trHeight w:val="552"/>
          <w:jc w:val="center"/>
        </w:trPr>
        <w:tc>
          <w:tcPr>
            <w:tcW w:w="48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效   果（20分）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履职</w:t>
            </w:r>
            <w:r>
              <w:rPr>
                <w:rFonts w:ascii="仿宋_GB2312" w:hAnsi="仿宋_GB2312" w:cs="仿宋_GB2312" w:hint="eastAsia"/>
                <w:sz w:val="21"/>
                <w:szCs w:val="21"/>
              </w:rPr>
              <w:br/>
              <w:t>效益（20分）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经济效益（5分）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部门履行职责对经济发展所带来的直接或间接影响。</w:t>
            </w:r>
          </w:p>
        </w:tc>
        <w:tc>
          <w:tcPr>
            <w:tcW w:w="3417"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rPr>
                <w:rFonts w:ascii="仿宋_GB2312" w:hAnsi="仿宋_GB2312" w:cs="仿宋_GB2312"/>
                <w:sz w:val="21"/>
                <w:szCs w:val="21"/>
              </w:rPr>
            </w:pPr>
            <w:r>
              <w:rPr>
                <w:rFonts w:ascii="仿宋_GB2312" w:hAnsi="仿宋_GB2312" w:cs="仿宋_GB2312" w:hint="eastAsia"/>
                <w:kern w:val="0"/>
                <w:sz w:val="21"/>
                <w:szCs w:val="21"/>
              </w:rPr>
              <w:t>按经济效益实现程度计算得分（5分）；按社会效益实现程度计算得分（5分）；按生态效益实现程度计算得分（5分）</w:t>
            </w:r>
          </w:p>
        </w:tc>
      </w:tr>
      <w:tr w:rsidR="00972894">
        <w:trPr>
          <w:trHeight w:val="542"/>
          <w:jc w:val="center"/>
        </w:trPr>
        <w:tc>
          <w:tcPr>
            <w:tcW w:w="482"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社会效益（5分）</w:t>
            </w:r>
          </w:p>
        </w:tc>
        <w:tc>
          <w:tcPr>
            <w:tcW w:w="765" w:type="dxa"/>
            <w:tcBorders>
              <w:top w:val="single" w:sz="4" w:space="0" w:color="auto"/>
              <w:left w:val="nil"/>
              <w:bottom w:val="single" w:sz="4" w:space="0" w:color="auto"/>
              <w:right w:val="single" w:sz="4" w:space="0" w:color="auto"/>
            </w:tcBorders>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部门履行职责对社会发展所带来的直接或间接影响。</w:t>
            </w:r>
          </w:p>
        </w:tc>
        <w:tc>
          <w:tcPr>
            <w:tcW w:w="3417"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r>
      <w:tr w:rsidR="00972894">
        <w:trPr>
          <w:trHeight w:val="557"/>
          <w:jc w:val="center"/>
        </w:trPr>
        <w:tc>
          <w:tcPr>
            <w:tcW w:w="482"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生态效益（5分）</w:t>
            </w:r>
          </w:p>
        </w:tc>
        <w:tc>
          <w:tcPr>
            <w:tcW w:w="765" w:type="dxa"/>
            <w:tcBorders>
              <w:top w:val="single" w:sz="4" w:space="0" w:color="auto"/>
              <w:left w:val="nil"/>
              <w:bottom w:val="single" w:sz="4" w:space="0" w:color="auto"/>
              <w:right w:val="single" w:sz="4" w:space="0" w:color="auto"/>
            </w:tcBorders>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部门履行职责对生态环境所带来的直接或间接影响。</w:t>
            </w:r>
          </w:p>
        </w:tc>
        <w:tc>
          <w:tcPr>
            <w:tcW w:w="3417"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r>
      <w:tr w:rsidR="00972894">
        <w:trPr>
          <w:trHeight w:val="901"/>
          <w:jc w:val="center"/>
        </w:trPr>
        <w:tc>
          <w:tcPr>
            <w:tcW w:w="482"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972894" w:rsidRDefault="00972894">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t>社会公众或服务对象满意度（5分）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752FDD">
            <w:pPr>
              <w:tabs>
                <w:tab w:val="left" w:pos="2604"/>
              </w:tabs>
              <w:rPr>
                <w:rFonts w:ascii="仿宋_GB2312" w:hAnsi="仿宋_GB2312" w:cs="仿宋_GB2312"/>
                <w:sz w:val="21"/>
                <w:szCs w:val="21"/>
              </w:rPr>
            </w:pPr>
            <w:r>
              <w:rPr>
                <w:rFonts w:ascii="仿宋_GB2312" w:hAnsi="仿宋_GB2312" w:cs="仿宋_GB2312" w:hint="eastAsia"/>
                <w:sz w:val="21"/>
                <w:szCs w:val="21"/>
              </w:rPr>
              <w:t>社会公众或部门的服务对象对部门履职效果的满意程度。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972894" w:rsidRDefault="00752FDD">
            <w:pPr>
              <w:rPr>
                <w:rFonts w:ascii="仿宋_GB2312" w:hAnsi="仿宋_GB2312" w:cs="仿宋_GB2312"/>
                <w:sz w:val="21"/>
                <w:szCs w:val="21"/>
              </w:rPr>
            </w:pPr>
            <w:r>
              <w:rPr>
                <w:rFonts w:ascii="仿宋_GB2312" w:hAnsi="仿宋_GB2312" w:cs="仿宋_GB2312" w:hint="eastAsia"/>
                <w:kern w:val="0"/>
                <w:sz w:val="21"/>
                <w:szCs w:val="21"/>
              </w:rPr>
              <w:t>按收集到的服务对象的满意率计算得分（5分）</w:t>
            </w:r>
          </w:p>
        </w:tc>
      </w:tr>
      <w:tr w:rsidR="00972894">
        <w:trPr>
          <w:trHeight w:val="1247"/>
          <w:jc w:val="center"/>
        </w:trPr>
        <w:tc>
          <w:tcPr>
            <w:tcW w:w="2202" w:type="dxa"/>
            <w:gridSpan w:val="3"/>
            <w:tcBorders>
              <w:top w:val="single" w:sz="4" w:space="0" w:color="auto"/>
              <w:left w:val="single" w:sz="4" w:space="0" w:color="auto"/>
              <w:bottom w:val="single" w:sz="4" w:space="0" w:color="auto"/>
              <w:right w:val="single" w:sz="4" w:space="0" w:color="auto"/>
            </w:tcBorders>
            <w:vAlign w:val="center"/>
          </w:tcPr>
          <w:p w:rsidR="00972894" w:rsidRDefault="00752FDD">
            <w:pPr>
              <w:jc w:val="center"/>
              <w:rPr>
                <w:rFonts w:ascii="仿宋_GB2312" w:hAnsi="仿宋_GB2312" w:cs="仿宋_GB2312"/>
                <w:sz w:val="21"/>
                <w:szCs w:val="21"/>
              </w:rPr>
            </w:pPr>
            <w:r>
              <w:rPr>
                <w:rFonts w:ascii="仿宋_GB2312" w:hAnsi="仿宋_GB2312" w:cs="仿宋_GB2312" w:hint="eastAsia"/>
                <w:sz w:val="21"/>
                <w:szCs w:val="21"/>
              </w:rPr>
              <w:lastRenderedPageBreak/>
              <w:t>合计</w:t>
            </w:r>
          </w:p>
        </w:tc>
        <w:tc>
          <w:tcPr>
            <w:tcW w:w="76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972894" w:rsidRDefault="006B63B3">
            <w:pPr>
              <w:tabs>
                <w:tab w:val="left" w:pos="2604"/>
              </w:tabs>
              <w:rPr>
                <w:rFonts w:ascii="仿宋_GB2312" w:hAnsi="仿宋_GB2312" w:cs="仿宋_GB2312"/>
                <w:sz w:val="21"/>
                <w:szCs w:val="21"/>
              </w:rPr>
            </w:pPr>
            <w:r>
              <w:rPr>
                <w:rFonts w:ascii="仿宋_GB2312" w:hAnsi="仿宋_GB2312" w:cs="仿宋_GB2312" w:hint="eastAsia"/>
                <w:sz w:val="21"/>
                <w:szCs w:val="21"/>
              </w:rPr>
              <w:t>99</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972894">
            <w:pPr>
              <w:tabs>
                <w:tab w:val="left" w:pos="2604"/>
              </w:tabs>
              <w:rPr>
                <w:rFonts w:ascii="仿宋_GB2312" w:hAnsi="仿宋_GB2312" w:cs="仿宋_GB2312"/>
                <w:sz w:val="21"/>
                <w:szCs w:val="21"/>
              </w:rPr>
            </w:pPr>
          </w:p>
        </w:tc>
        <w:tc>
          <w:tcPr>
            <w:tcW w:w="341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72894" w:rsidRDefault="00972894">
            <w:pPr>
              <w:rPr>
                <w:rFonts w:ascii="仿宋_GB2312" w:hAnsi="仿宋_GB2312" w:cs="仿宋_GB2312"/>
                <w:kern w:val="0"/>
                <w:sz w:val="21"/>
                <w:szCs w:val="21"/>
              </w:rPr>
            </w:pPr>
          </w:p>
        </w:tc>
      </w:tr>
    </w:tbl>
    <w:p w:rsidR="00972894" w:rsidRDefault="00972894">
      <w:pPr>
        <w:rPr>
          <w:rFonts w:ascii="仿宋_GB2312" w:hAnsi="仿宋_GB2312" w:cs="仿宋_GB2312"/>
          <w:sz w:val="24"/>
          <w:szCs w:val="24"/>
        </w:rPr>
      </w:pPr>
    </w:p>
    <w:sectPr w:rsidR="00972894" w:rsidSect="00972894">
      <w:footerReference w:type="default" r:id="rId7"/>
      <w:pgSz w:w="11906" w:h="16838"/>
      <w:pgMar w:top="1723" w:right="1800" w:bottom="1723" w:left="1800" w:header="851" w:footer="992"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3F1" w:rsidRDefault="005A03F1" w:rsidP="00972894">
      <w:r>
        <w:separator/>
      </w:r>
    </w:p>
  </w:endnote>
  <w:endnote w:type="continuationSeparator" w:id="1">
    <w:p w:rsidR="005A03F1" w:rsidRDefault="005A03F1" w:rsidP="009728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894" w:rsidRDefault="00C64A77">
    <w:pPr>
      <w:pStyle w:val="a3"/>
      <w:jc w:val="center"/>
    </w:pPr>
    <w:r>
      <w:rPr>
        <w:rFonts w:hint="eastAsia"/>
      </w:rPr>
      <w:fldChar w:fldCharType="begin"/>
    </w:r>
    <w:r w:rsidR="00752FDD">
      <w:rPr>
        <w:rFonts w:hint="eastAsia"/>
      </w:rPr>
      <w:instrText xml:space="preserve"> PAGE  \* MERGEFORMAT </w:instrText>
    </w:r>
    <w:r>
      <w:rPr>
        <w:rFonts w:hint="eastAsia"/>
      </w:rPr>
      <w:fldChar w:fldCharType="separate"/>
    </w:r>
    <w:r w:rsidR="006B63B3">
      <w:rPr>
        <w:noProof/>
      </w:rPr>
      <w:t>6</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3F1" w:rsidRDefault="005A03F1" w:rsidP="00972894">
      <w:r>
        <w:separator/>
      </w:r>
    </w:p>
  </w:footnote>
  <w:footnote w:type="continuationSeparator" w:id="1">
    <w:p w:rsidR="005A03F1" w:rsidRDefault="005A03F1" w:rsidP="009728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320"/>
  <w:drawingGridVerticalSpacing w:val="156"/>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2894"/>
    <w:rsid w:val="0005564B"/>
    <w:rsid w:val="005A03F1"/>
    <w:rsid w:val="006B63B3"/>
    <w:rsid w:val="00752FDD"/>
    <w:rsid w:val="00972894"/>
    <w:rsid w:val="00B6638E"/>
    <w:rsid w:val="00C64A77"/>
    <w:rsid w:val="100F03D1"/>
    <w:rsid w:val="132E4195"/>
    <w:rsid w:val="45FD6295"/>
    <w:rsid w:val="4A1F22B8"/>
    <w:rsid w:val="6D321A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894"/>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72894"/>
    <w:pPr>
      <w:tabs>
        <w:tab w:val="center" w:pos="4153"/>
        <w:tab w:val="right" w:pos="8306"/>
      </w:tabs>
      <w:snapToGrid w:val="0"/>
      <w:jc w:val="left"/>
    </w:pPr>
    <w:rPr>
      <w:sz w:val="18"/>
    </w:rPr>
  </w:style>
  <w:style w:type="paragraph" w:styleId="a4">
    <w:name w:val="header"/>
    <w:basedOn w:val="a"/>
    <w:rsid w:val="0097289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lenovo</cp:lastModifiedBy>
  <cp:revision>3</cp:revision>
  <dcterms:created xsi:type="dcterms:W3CDTF">2014-10-29T12:08:00Z</dcterms:created>
  <dcterms:modified xsi:type="dcterms:W3CDTF">2022-03-25T07:25:00Z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