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3-2</w:t>
      </w:r>
      <w:r>
        <w:rPr>
          <w:rFonts w:hint="eastAsia" w:ascii="黑体" w:eastAsia="黑体"/>
          <w:szCs w:val="32"/>
        </w:rPr>
        <w:t>：</w:t>
      </w:r>
    </w:p>
    <w:p>
      <w:pPr>
        <w:spacing w:line="600" w:lineRule="exact"/>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部门整体支出绩效评价报告（参考提纲）</w:t>
      </w:r>
    </w:p>
    <w:p>
      <w:pPr>
        <w:spacing w:line="600" w:lineRule="exact"/>
        <w:ind w:firstLine="669" w:firstLineChars="225"/>
        <w:rPr>
          <w:rFonts w:ascii="仿宋_GB2312"/>
          <w:b/>
          <w:szCs w:val="32"/>
        </w:rPr>
      </w:pPr>
    </w:p>
    <w:p>
      <w:pPr>
        <w:topLinePunct/>
        <w:ind w:firstLine="594" w:firstLineChars="200"/>
        <w:rPr>
          <w:rFonts w:ascii="黑体" w:eastAsia="黑体"/>
          <w:szCs w:val="32"/>
        </w:rPr>
      </w:pPr>
      <w:r>
        <w:rPr>
          <w:rFonts w:hint="eastAsia" w:ascii="黑体" w:eastAsia="黑体"/>
          <w:szCs w:val="32"/>
        </w:rPr>
        <w:t>一、基本情况</w:t>
      </w:r>
    </w:p>
    <w:p>
      <w:pPr>
        <w:topLinePunct/>
        <w:ind w:firstLine="594" w:firstLineChars="200"/>
        <w:rPr>
          <w:rFonts w:hint="eastAsia" w:ascii="仿宋_GB2312"/>
          <w:szCs w:val="32"/>
        </w:rPr>
      </w:pPr>
      <w:r>
        <w:rPr>
          <w:rFonts w:hint="eastAsia" w:ascii="仿宋_GB2312"/>
          <w:szCs w:val="32"/>
        </w:rPr>
        <w:t>（一）部门整体支出概况，年</w:t>
      </w:r>
      <w:r>
        <w:rPr>
          <w:rFonts w:hint="eastAsia" w:ascii="仿宋_GB2312"/>
          <w:szCs w:val="32"/>
          <w:lang w:eastAsia="zh-CN"/>
        </w:rPr>
        <w:t>度</w:t>
      </w:r>
      <w:r>
        <w:rPr>
          <w:rFonts w:hint="eastAsia" w:ascii="仿宋_GB2312"/>
          <w:szCs w:val="32"/>
        </w:rPr>
        <w:t>部门决算收支完成情况，包括收入构成、支出构成、年初预算完成率、当年收支平衡和年终结转结余情况等。</w:t>
      </w:r>
    </w:p>
    <w:p>
      <w:pPr>
        <w:topLinePunct/>
        <w:ind w:firstLine="594" w:firstLineChars="200"/>
        <w:rPr>
          <w:rFonts w:hint="eastAsia" w:ascii="仿宋_GB2312"/>
          <w:szCs w:val="32"/>
        </w:rPr>
      </w:pPr>
      <w:r>
        <w:rPr>
          <w:rFonts w:hint="eastAsia" w:ascii="仿宋_GB2312"/>
          <w:szCs w:val="32"/>
        </w:rPr>
        <w:t>202</w:t>
      </w:r>
      <w:r>
        <w:rPr>
          <w:rFonts w:hint="eastAsia" w:ascii="仿宋_GB2312"/>
          <w:szCs w:val="32"/>
          <w:lang w:val="en-US" w:eastAsia="zh-CN"/>
        </w:rPr>
        <w:t>2</w:t>
      </w:r>
      <w:r>
        <w:rPr>
          <w:rFonts w:hint="eastAsia" w:ascii="仿宋_GB2312"/>
          <w:szCs w:val="32"/>
        </w:rPr>
        <w:t>年</w:t>
      </w:r>
      <w:r>
        <w:rPr>
          <w:rFonts w:hint="eastAsia" w:ascii="仿宋_GB2312"/>
          <w:szCs w:val="32"/>
          <w:lang w:val="en-US" w:eastAsia="zh-CN"/>
        </w:rPr>
        <w:t>中国共产党</w:t>
      </w:r>
      <w:r>
        <w:rPr>
          <w:rFonts w:hint="eastAsia" w:ascii="仿宋_GB2312"/>
          <w:szCs w:val="32"/>
        </w:rPr>
        <w:t>昆明市呈贡区</w:t>
      </w:r>
      <w:r>
        <w:rPr>
          <w:rFonts w:hint="eastAsia" w:ascii="仿宋_GB2312"/>
          <w:szCs w:val="32"/>
          <w:lang w:val="en-US" w:eastAsia="zh-CN"/>
        </w:rPr>
        <w:t>委员会老干部</w:t>
      </w:r>
      <w:r>
        <w:rPr>
          <w:rFonts w:hint="eastAsia" w:ascii="仿宋_GB2312"/>
          <w:szCs w:val="32"/>
        </w:rPr>
        <w:t>局决算收入5</w:t>
      </w:r>
      <w:r>
        <w:rPr>
          <w:rFonts w:hint="eastAsia" w:ascii="仿宋_GB2312"/>
          <w:szCs w:val="32"/>
          <w:lang w:val="en-US" w:eastAsia="zh-CN"/>
        </w:rPr>
        <w:t>,</w:t>
      </w:r>
      <w:r>
        <w:rPr>
          <w:rFonts w:hint="eastAsia" w:ascii="仿宋_GB2312"/>
          <w:szCs w:val="32"/>
        </w:rPr>
        <w:t>580</w:t>
      </w:r>
      <w:r>
        <w:rPr>
          <w:rFonts w:hint="eastAsia" w:ascii="仿宋_GB2312"/>
          <w:szCs w:val="32"/>
          <w:lang w:val="en-US" w:eastAsia="zh-CN"/>
        </w:rPr>
        <w:t>,</w:t>
      </w:r>
      <w:r>
        <w:rPr>
          <w:rFonts w:hint="eastAsia" w:ascii="仿宋_GB2312"/>
          <w:szCs w:val="32"/>
        </w:rPr>
        <w:t>902.23元，其中财政拨款收入4</w:t>
      </w:r>
      <w:r>
        <w:rPr>
          <w:rFonts w:hint="eastAsia" w:ascii="仿宋_GB2312"/>
          <w:szCs w:val="32"/>
          <w:lang w:val="en-US" w:eastAsia="zh-CN"/>
        </w:rPr>
        <w:t>,</w:t>
      </w:r>
      <w:r>
        <w:rPr>
          <w:rFonts w:hint="eastAsia" w:ascii="仿宋_GB2312"/>
          <w:szCs w:val="32"/>
        </w:rPr>
        <w:t>694</w:t>
      </w:r>
      <w:r>
        <w:rPr>
          <w:rFonts w:hint="eastAsia" w:ascii="仿宋_GB2312"/>
          <w:szCs w:val="32"/>
          <w:lang w:val="en-US" w:eastAsia="zh-CN"/>
        </w:rPr>
        <w:t>,</w:t>
      </w:r>
      <w:r>
        <w:rPr>
          <w:rFonts w:hint="eastAsia" w:ascii="仿宋_GB2312"/>
          <w:szCs w:val="32"/>
        </w:rPr>
        <w:t>228.8</w:t>
      </w:r>
      <w:r>
        <w:rPr>
          <w:rFonts w:hint="eastAsia" w:ascii="仿宋_GB2312"/>
          <w:szCs w:val="32"/>
          <w:lang w:val="en-US" w:eastAsia="zh-CN"/>
        </w:rPr>
        <w:t>0</w:t>
      </w:r>
      <w:r>
        <w:rPr>
          <w:rFonts w:hint="eastAsia" w:ascii="仿宋_GB2312"/>
          <w:szCs w:val="32"/>
        </w:rPr>
        <w:t>元，决算支出5</w:t>
      </w:r>
      <w:r>
        <w:rPr>
          <w:rFonts w:hint="eastAsia" w:ascii="仿宋_GB2312"/>
          <w:szCs w:val="32"/>
          <w:lang w:val="en-US" w:eastAsia="zh-CN"/>
        </w:rPr>
        <w:t>,2</w:t>
      </w:r>
      <w:r>
        <w:rPr>
          <w:rFonts w:hint="eastAsia" w:ascii="仿宋_GB2312"/>
          <w:szCs w:val="32"/>
        </w:rPr>
        <w:t>30</w:t>
      </w:r>
      <w:r>
        <w:rPr>
          <w:rFonts w:hint="eastAsia" w:ascii="仿宋_GB2312"/>
          <w:szCs w:val="32"/>
          <w:lang w:val="en-US" w:eastAsia="zh-CN"/>
        </w:rPr>
        <w:t>,</w:t>
      </w:r>
      <w:r>
        <w:rPr>
          <w:rFonts w:hint="eastAsia" w:ascii="仿宋_GB2312"/>
          <w:szCs w:val="32"/>
        </w:rPr>
        <w:t>225.67元。按功能分类，其中：</w:t>
      </w:r>
      <w:r>
        <w:rPr>
          <w:rFonts w:hint="eastAsia" w:ascii="仿宋_GB2312"/>
          <w:szCs w:val="32"/>
          <w:lang w:val="en-US" w:eastAsia="zh-CN"/>
        </w:rPr>
        <w:t>一般公共服务支出3,959,198.35元，</w:t>
      </w:r>
      <w:r>
        <w:rPr>
          <w:rFonts w:hint="eastAsia" w:ascii="仿宋_GB2312"/>
          <w:szCs w:val="32"/>
        </w:rPr>
        <w:t>社会保障和就业支出1</w:t>
      </w:r>
      <w:r>
        <w:rPr>
          <w:rFonts w:hint="eastAsia" w:ascii="仿宋_GB2312"/>
          <w:szCs w:val="32"/>
          <w:lang w:val="en-US" w:eastAsia="zh-CN"/>
        </w:rPr>
        <w:t>,</w:t>
      </w:r>
      <w:r>
        <w:rPr>
          <w:rFonts w:hint="eastAsia" w:ascii="仿宋_GB2312"/>
          <w:szCs w:val="32"/>
        </w:rPr>
        <w:t>017</w:t>
      </w:r>
      <w:r>
        <w:rPr>
          <w:rFonts w:hint="eastAsia" w:ascii="仿宋_GB2312"/>
          <w:szCs w:val="32"/>
          <w:lang w:val="en-US" w:eastAsia="zh-CN"/>
        </w:rPr>
        <w:t>,</w:t>
      </w:r>
      <w:r>
        <w:rPr>
          <w:rFonts w:hint="eastAsia" w:ascii="仿宋_GB2312"/>
          <w:szCs w:val="32"/>
        </w:rPr>
        <w:t>033.11元，卫生健康支出89</w:t>
      </w:r>
      <w:r>
        <w:rPr>
          <w:rFonts w:hint="eastAsia" w:ascii="仿宋_GB2312"/>
          <w:szCs w:val="32"/>
          <w:lang w:val="en-US" w:eastAsia="zh-CN"/>
        </w:rPr>
        <w:t>,</w:t>
      </w:r>
      <w:r>
        <w:rPr>
          <w:rFonts w:hint="eastAsia" w:ascii="仿宋_GB2312"/>
          <w:szCs w:val="32"/>
        </w:rPr>
        <w:t>390.21元，住房保障支出164</w:t>
      </w:r>
      <w:r>
        <w:rPr>
          <w:rFonts w:hint="eastAsia" w:ascii="仿宋_GB2312"/>
          <w:szCs w:val="32"/>
          <w:lang w:val="en-US" w:eastAsia="zh-CN"/>
        </w:rPr>
        <w:t>,</w:t>
      </w:r>
      <w:r>
        <w:rPr>
          <w:rFonts w:hint="eastAsia" w:ascii="仿宋_GB2312"/>
          <w:szCs w:val="32"/>
        </w:rPr>
        <w:t>604</w:t>
      </w:r>
      <w:r>
        <w:rPr>
          <w:rFonts w:hint="eastAsia" w:ascii="仿宋_GB2312"/>
          <w:szCs w:val="32"/>
          <w:lang w:val="en-US" w:eastAsia="zh-CN"/>
        </w:rPr>
        <w:t>.00</w:t>
      </w:r>
      <w:r>
        <w:rPr>
          <w:rFonts w:hint="eastAsia" w:ascii="仿宋_GB2312"/>
          <w:szCs w:val="32"/>
        </w:rPr>
        <w:t>元。按支出性质，其中：基本支出2</w:t>
      </w:r>
      <w:r>
        <w:rPr>
          <w:rFonts w:hint="eastAsia" w:ascii="仿宋_GB2312"/>
          <w:szCs w:val="32"/>
          <w:lang w:val="en-US" w:eastAsia="zh-CN"/>
        </w:rPr>
        <w:t>,</w:t>
      </w:r>
      <w:r>
        <w:rPr>
          <w:rFonts w:hint="eastAsia" w:ascii="仿宋_GB2312"/>
          <w:szCs w:val="32"/>
        </w:rPr>
        <w:t>587</w:t>
      </w:r>
      <w:r>
        <w:rPr>
          <w:rFonts w:hint="eastAsia" w:ascii="仿宋_GB2312"/>
          <w:szCs w:val="32"/>
          <w:lang w:val="en-US" w:eastAsia="zh-CN"/>
        </w:rPr>
        <w:t>,</w:t>
      </w:r>
      <w:r>
        <w:rPr>
          <w:rFonts w:hint="eastAsia" w:ascii="仿宋_GB2312"/>
          <w:szCs w:val="32"/>
        </w:rPr>
        <w:t>447.8</w:t>
      </w:r>
      <w:r>
        <w:rPr>
          <w:rFonts w:hint="eastAsia" w:ascii="仿宋_GB2312"/>
          <w:szCs w:val="32"/>
          <w:lang w:val="en-US" w:eastAsia="zh-CN"/>
        </w:rPr>
        <w:t>0元</w:t>
      </w:r>
      <w:r>
        <w:rPr>
          <w:rFonts w:hint="eastAsia" w:ascii="仿宋_GB2312"/>
          <w:szCs w:val="32"/>
        </w:rPr>
        <w:t>（包括人员经费2</w:t>
      </w:r>
      <w:r>
        <w:rPr>
          <w:rFonts w:hint="eastAsia" w:ascii="仿宋_GB2312"/>
          <w:szCs w:val="32"/>
          <w:lang w:val="en-US" w:eastAsia="zh-CN"/>
        </w:rPr>
        <w:t>,</w:t>
      </w:r>
      <w:r>
        <w:rPr>
          <w:rFonts w:hint="eastAsia" w:ascii="仿宋_GB2312"/>
          <w:szCs w:val="32"/>
        </w:rPr>
        <w:t>275</w:t>
      </w:r>
      <w:r>
        <w:rPr>
          <w:rFonts w:hint="eastAsia" w:ascii="仿宋_GB2312"/>
          <w:szCs w:val="32"/>
          <w:lang w:val="en-US" w:eastAsia="zh-CN"/>
        </w:rPr>
        <w:t>,</w:t>
      </w:r>
      <w:r>
        <w:rPr>
          <w:rFonts w:hint="eastAsia" w:ascii="仿宋_GB2312"/>
          <w:szCs w:val="32"/>
        </w:rPr>
        <w:t>994.36元，公用经费311</w:t>
      </w:r>
      <w:r>
        <w:rPr>
          <w:rFonts w:hint="eastAsia" w:ascii="仿宋_GB2312"/>
          <w:szCs w:val="32"/>
          <w:lang w:val="en-US" w:eastAsia="zh-CN"/>
        </w:rPr>
        <w:t>,</w:t>
      </w:r>
      <w:r>
        <w:rPr>
          <w:rFonts w:hint="eastAsia" w:ascii="仿宋_GB2312"/>
          <w:szCs w:val="32"/>
        </w:rPr>
        <w:t>453.44元）；项目支出2</w:t>
      </w:r>
      <w:r>
        <w:rPr>
          <w:rFonts w:hint="eastAsia" w:ascii="仿宋_GB2312"/>
          <w:szCs w:val="32"/>
          <w:lang w:val="en-US" w:eastAsia="zh-CN"/>
        </w:rPr>
        <w:t>,</w:t>
      </w:r>
      <w:r>
        <w:rPr>
          <w:rFonts w:hint="eastAsia" w:ascii="仿宋_GB2312"/>
          <w:szCs w:val="32"/>
        </w:rPr>
        <w:t>642</w:t>
      </w:r>
      <w:r>
        <w:rPr>
          <w:rFonts w:hint="eastAsia" w:ascii="仿宋_GB2312"/>
          <w:szCs w:val="32"/>
          <w:lang w:val="en-US" w:eastAsia="zh-CN"/>
        </w:rPr>
        <w:t>,</w:t>
      </w:r>
      <w:r>
        <w:rPr>
          <w:rFonts w:hint="eastAsia" w:ascii="仿宋_GB2312"/>
          <w:szCs w:val="32"/>
        </w:rPr>
        <w:t>777.87元。</w:t>
      </w:r>
    </w:p>
    <w:p>
      <w:pPr>
        <w:topLinePunct/>
        <w:ind w:firstLine="594" w:firstLineChars="200"/>
        <w:rPr>
          <w:rFonts w:hint="eastAsia" w:ascii="仿宋_GB2312"/>
          <w:szCs w:val="32"/>
        </w:rPr>
      </w:pPr>
      <w:r>
        <w:rPr>
          <w:rFonts w:hint="eastAsia" w:ascii="仿宋_GB2312"/>
          <w:szCs w:val="32"/>
        </w:rPr>
        <w:t>项目支出包括：呈财社〔2022〕9号落实离退休干部生活待遇补助经费537</w:t>
      </w:r>
      <w:r>
        <w:rPr>
          <w:rFonts w:hint="eastAsia" w:ascii="仿宋_GB2312"/>
          <w:szCs w:val="32"/>
          <w:lang w:val="en-US" w:eastAsia="zh-CN"/>
        </w:rPr>
        <w:t>,</w:t>
      </w:r>
      <w:r>
        <w:rPr>
          <w:rFonts w:hint="eastAsia" w:ascii="仿宋_GB2312"/>
          <w:szCs w:val="32"/>
        </w:rPr>
        <w:t>252.00元；</w:t>
      </w:r>
    </w:p>
    <w:p>
      <w:pPr>
        <w:topLinePunct/>
        <w:ind w:firstLine="594" w:firstLineChars="200"/>
        <w:rPr>
          <w:rFonts w:hint="default" w:ascii="仿宋_GB2312" w:eastAsia="仿宋_GB2312"/>
          <w:szCs w:val="32"/>
          <w:lang w:val="en-US" w:eastAsia="zh-CN"/>
        </w:rPr>
      </w:pPr>
      <w:r>
        <w:rPr>
          <w:rFonts w:hint="eastAsia" w:ascii="仿宋_GB2312"/>
          <w:szCs w:val="32"/>
        </w:rPr>
        <w:t>呈财社〔2022〕9号呈贡区老年大学办学经费505</w:t>
      </w:r>
      <w:r>
        <w:rPr>
          <w:rFonts w:hint="eastAsia" w:ascii="仿宋_GB2312"/>
          <w:szCs w:val="32"/>
          <w:lang w:val="en-US" w:eastAsia="zh-CN"/>
        </w:rPr>
        <w:t>,</w:t>
      </w:r>
      <w:r>
        <w:rPr>
          <w:rFonts w:hint="eastAsia" w:ascii="仿宋_GB2312"/>
          <w:szCs w:val="32"/>
        </w:rPr>
        <w:t>598</w:t>
      </w:r>
      <w:r>
        <w:rPr>
          <w:rFonts w:hint="eastAsia" w:ascii="仿宋_GB2312"/>
          <w:szCs w:val="32"/>
          <w:lang w:val="en-US" w:eastAsia="zh-CN"/>
        </w:rPr>
        <w:t>.00元；</w:t>
      </w:r>
    </w:p>
    <w:p>
      <w:pPr>
        <w:topLinePunct/>
        <w:ind w:firstLine="594" w:firstLineChars="200"/>
        <w:rPr>
          <w:rFonts w:hint="eastAsia" w:ascii="仿宋_GB2312"/>
          <w:szCs w:val="32"/>
        </w:rPr>
      </w:pPr>
      <w:r>
        <w:rPr>
          <w:rFonts w:hint="eastAsia" w:ascii="仿宋_GB2312"/>
          <w:szCs w:val="32"/>
        </w:rPr>
        <w:t>呈财社〔2022〕9号老干部诗词书画活动经费29</w:t>
      </w:r>
      <w:r>
        <w:rPr>
          <w:rFonts w:hint="eastAsia" w:ascii="仿宋_GB2312"/>
          <w:szCs w:val="32"/>
          <w:lang w:val="en-US" w:eastAsia="zh-CN"/>
        </w:rPr>
        <w:t>,</w:t>
      </w:r>
      <w:r>
        <w:rPr>
          <w:rFonts w:hint="eastAsia" w:ascii="仿宋_GB2312"/>
          <w:szCs w:val="32"/>
        </w:rPr>
        <w:t>530.00元；</w:t>
      </w:r>
    </w:p>
    <w:p>
      <w:pPr>
        <w:topLinePunct/>
        <w:ind w:firstLine="594" w:firstLineChars="200"/>
        <w:rPr>
          <w:rFonts w:hint="eastAsia" w:ascii="仿宋_GB2312"/>
          <w:szCs w:val="32"/>
        </w:rPr>
      </w:pPr>
      <w:r>
        <w:rPr>
          <w:rFonts w:hint="eastAsia" w:ascii="仿宋_GB2312"/>
          <w:szCs w:val="32"/>
        </w:rPr>
        <w:t>呈财社〔2022〕9号离退休干部党支部党建工作经费和党员教育培训经费172</w:t>
      </w:r>
      <w:r>
        <w:rPr>
          <w:rFonts w:hint="eastAsia" w:ascii="仿宋_GB2312"/>
          <w:szCs w:val="32"/>
          <w:lang w:val="en-US" w:eastAsia="zh-CN"/>
        </w:rPr>
        <w:t>,</w:t>
      </w:r>
      <w:r>
        <w:rPr>
          <w:rFonts w:hint="eastAsia" w:ascii="仿宋_GB2312"/>
          <w:szCs w:val="32"/>
        </w:rPr>
        <w:t>100.00元；</w:t>
      </w:r>
    </w:p>
    <w:p>
      <w:pPr>
        <w:topLinePunct/>
        <w:ind w:firstLine="594" w:firstLineChars="200"/>
        <w:rPr>
          <w:rFonts w:hint="eastAsia" w:ascii="仿宋_GB2312"/>
          <w:szCs w:val="32"/>
        </w:rPr>
      </w:pPr>
      <w:r>
        <w:rPr>
          <w:rFonts w:hint="eastAsia" w:ascii="仿宋_GB2312"/>
          <w:szCs w:val="32"/>
        </w:rPr>
        <w:t xml:space="preserve">  呈财社〔2022〕9号落实离退休干部政治待遇项目经费854</w:t>
      </w:r>
      <w:r>
        <w:rPr>
          <w:rFonts w:hint="eastAsia" w:ascii="仿宋_GB2312"/>
          <w:szCs w:val="32"/>
          <w:lang w:val="en-US" w:eastAsia="zh-CN"/>
        </w:rPr>
        <w:t>,</w:t>
      </w:r>
      <w:r>
        <w:rPr>
          <w:rFonts w:hint="eastAsia" w:ascii="仿宋_GB2312"/>
          <w:szCs w:val="32"/>
        </w:rPr>
        <w:t>021</w:t>
      </w:r>
      <w:r>
        <w:rPr>
          <w:rFonts w:hint="eastAsia" w:ascii="仿宋_GB2312"/>
          <w:szCs w:val="32"/>
          <w:lang w:val="en-US" w:eastAsia="zh-CN"/>
        </w:rPr>
        <w:t>.00</w:t>
      </w:r>
      <w:r>
        <w:rPr>
          <w:rFonts w:hint="eastAsia" w:ascii="仿宋_GB2312"/>
          <w:szCs w:val="32"/>
        </w:rPr>
        <w:t>元；</w:t>
      </w:r>
    </w:p>
    <w:p>
      <w:pPr>
        <w:topLinePunct/>
        <w:ind w:firstLine="594" w:firstLineChars="200"/>
        <w:rPr>
          <w:rFonts w:hint="default" w:ascii="仿宋_GB2312"/>
          <w:szCs w:val="32"/>
          <w:lang w:val="en-US" w:eastAsia="zh-CN"/>
        </w:rPr>
      </w:pPr>
      <w:r>
        <w:rPr>
          <w:rFonts w:hint="eastAsia" w:ascii="仿宋_GB2312"/>
          <w:szCs w:val="32"/>
        </w:rPr>
        <w:t>呈财社〔2022〕9号呈贡区老干部局、老干部活动中心和老年大学修缮经费</w:t>
      </w:r>
      <w:r>
        <w:rPr>
          <w:rFonts w:hint="eastAsia" w:ascii="仿宋_GB2312"/>
          <w:szCs w:val="32"/>
          <w:lang w:val="en-US" w:eastAsia="zh-CN"/>
        </w:rPr>
        <w:t>4,100.00元。</w:t>
      </w:r>
    </w:p>
    <w:p>
      <w:pPr>
        <w:numPr>
          <w:ilvl w:val="0"/>
          <w:numId w:val="1"/>
        </w:numPr>
        <w:topLinePunct/>
        <w:ind w:firstLine="594" w:firstLineChars="200"/>
        <w:rPr>
          <w:rFonts w:hint="eastAsia" w:ascii="仿宋_GB2312"/>
          <w:szCs w:val="32"/>
        </w:rPr>
      </w:pPr>
      <w:r>
        <w:rPr>
          <w:rFonts w:hint="eastAsia" w:ascii="仿宋_GB2312"/>
          <w:szCs w:val="32"/>
        </w:rPr>
        <w:t>部门整体支出绩效目标，主要包括区委、区政府或上级主管部门绩效考核的个性指标、预决算公开、存量资金管理、资产管理、三公经费控制、内部管理制度建设等的设定及完成情况，项目绩效总目标和阶段性目标完成情况及预期经济、社会效益等。</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b/>
          <w:szCs w:val="32"/>
        </w:rPr>
      </w:pPr>
      <w:r>
        <w:rPr>
          <w:rFonts w:hint="eastAsia" w:ascii="仿宋_GB2312"/>
          <w:b/>
          <w:szCs w:val="32"/>
        </w:rPr>
        <w:t>明确目标任务，有序开展工作。</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1.</w:t>
      </w:r>
      <w:r>
        <w:rPr>
          <w:rFonts w:hint="eastAsia" w:ascii="仿宋_GB2312" w:hAnsi="仿宋_GB2312" w:eastAsia="仿宋_GB2312" w:cs="仿宋_GB2312"/>
          <w:b/>
          <w:bCs/>
          <w:spacing w:val="0"/>
          <w:sz w:val="32"/>
          <w:szCs w:val="32"/>
          <w:lang w:eastAsia="zh-CN"/>
        </w:rPr>
        <w:t>离退休干部“三项建设”</w:t>
      </w:r>
      <w:r>
        <w:rPr>
          <w:rFonts w:hint="eastAsia" w:ascii="仿宋_GB2312" w:hAnsi="仿宋_GB2312" w:eastAsia="仿宋_GB2312" w:cs="仿宋_GB2312"/>
          <w:b/>
          <w:bCs/>
          <w:spacing w:val="0"/>
          <w:sz w:val="32"/>
          <w:szCs w:val="32"/>
          <w:lang w:val="en-US" w:eastAsia="zh-CN"/>
        </w:rPr>
        <w:t>持续</w:t>
      </w:r>
      <w:r>
        <w:rPr>
          <w:rFonts w:hint="eastAsia" w:ascii="仿宋_GB2312" w:hAnsi="仿宋_GB2312" w:eastAsia="仿宋_GB2312" w:cs="仿宋_GB2312"/>
          <w:b/>
          <w:bCs/>
          <w:spacing w:val="0"/>
          <w:sz w:val="32"/>
          <w:szCs w:val="32"/>
          <w:lang w:eastAsia="zh-CN"/>
        </w:rPr>
        <w:t>推进。</w:t>
      </w:r>
      <w:r>
        <w:rPr>
          <w:rFonts w:hint="eastAsia" w:ascii="仿宋_GB2312" w:hAnsi="仿宋_GB2312" w:eastAsia="仿宋_GB2312" w:cs="仿宋_GB2312"/>
          <w:spacing w:val="0"/>
          <w:sz w:val="32"/>
          <w:szCs w:val="32"/>
          <w:lang w:val="en-US" w:eastAsia="zh-CN"/>
        </w:rPr>
        <w:t>2022年，以学习贯彻党的十九届六中全会精神和喜迎党的二十大为主线，结合党史学习教育常态化长效化要求，认真宣传学习贯彻《关于加强新时代离退休干部党的建设工作的意见》，教育引导离退休干部牢记党的历史，不断增强党性观念，保持党员的政治本色，感党恩、听党话、跟党走，引领全区离退休干部助力高质量建设春城花都展示区、现代科教创新城。</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一是</w:t>
      </w:r>
      <w:r>
        <w:rPr>
          <w:rFonts w:hint="eastAsia" w:ascii="仿宋_GB2312" w:hAnsi="仿宋_GB2312" w:eastAsia="仿宋_GB2312" w:cs="仿宋_GB2312"/>
          <w:spacing w:val="0"/>
          <w:sz w:val="32"/>
          <w:szCs w:val="32"/>
          <w:lang w:val="en-US" w:eastAsia="zh-CN"/>
        </w:rPr>
        <w:t>把政治建设摆在首位。不断强化政治建设，进一步明确离退休干部在政治学习、政治生活、政治纪律和政治规矩等方面的要求。教育引导广大离退休干部把对“两个确立”的思想认同、政治认同、情感认同真正转化为增强“四个意识”、坚定“四个自信”、做到“两个维护”的思想自觉、政治自觉和行动自觉。</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二是</w:t>
      </w:r>
      <w:r>
        <w:rPr>
          <w:rFonts w:hint="eastAsia" w:ascii="仿宋_GB2312" w:hAnsi="仿宋_GB2312" w:eastAsia="仿宋_GB2312" w:cs="仿宋_GB2312"/>
          <w:spacing w:val="0"/>
          <w:sz w:val="32"/>
          <w:szCs w:val="32"/>
          <w:lang w:val="en-US" w:eastAsia="zh-CN"/>
        </w:rPr>
        <w:t>把思想建设抓在经常。把学习贯彻习近平新时代中国特色社会主义思想作为重中之重，巩固拓展党史学习教育成果，围绕学习贯彻党的十九届六中全会精神和学习宣传党的二十大精神，使离退休党员思想教育融入日常、形成常态。继续办好离退休干部读书班和党支部书记培训班，举办情况通报会。2022年，举办“我看中国特色社会主义新时代”和“建言二十大”调研座谈会1次，举办全区离退休干部读书班暨离退休干部党支部书记培训班1次，举办离退休干部情况通报会1场。各单位、各离退休干部党支部通过集中和分散形式积极组织离退休干部收听收看党的二十大开幕会，据不完全统计，2022年10月16日上午，呈贡区各单位离退休干部收听收看人数达3000余人，广大离退休干部热议党的二十大开幕会，通过多种形式畅谈收听收看感悟体会。</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三是</w:t>
      </w:r>
      <w:r>
        <w:rPr>
          <w:rFonts w:hint="eastAsia" w:ascii="仿宋_GB2312" w:hAnsi="仿宋_GB2312" w:eastAsia="仿宋_GB2312" w:cs="仿宋_GB2312"/>
          <w:spacing w:val="0"/>
          <w:sz w:val="32"/>
          <w:szCs w:val="32"/>
          <w:lang w:val="en-US" w:eastAsia="zh-CN"/>
        </w:rPr>
        <w:t>把组织建设落到实处。持续坚持在职党员联系离退休干部党支部制度，按照《离退休人员党支部规范化建设标准》，加大对离退休干部党支部党建工作的指导。2022年，在职党员联系指导离退休干部党支部规范化建设21次，列席参加离退休干部党支部党员大会、主题党日活动24次，支持引导离退休干部党员参加正能量活动8次，慰问困难离退休干部和生病住院离退休干部42人次，收集离退休党员意见建议16条。对2019年度被命名为省、市、区级离退休干部“示范党支部”的2个离退休干部党支部进行复核。</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bCs/>
          <w:spacing w:val="0"/>
          <w:sz w:val="32"/>
          <w:szCs w:val="32"/>
          <w:lang w:val="en-US" w:eastAsia="zh-CN"/>
        </w:rPr>
        <w:t>2.</w:t>
      </w:r>
      <w:r>
        <w:rPr>
          <w:rFonts w:hint="eastAsia" w:ascii="仿宋_GB2312" w:hAnsi="仿宋_GB2312" w:eastAsia="仿宋_GB2312" w:cs="仿宋_GB2312"/>
          <w:b/>
          <w:bCs/>
          <w:spacing w:val="0"/>
          <w:sz w:val="32"/>
          <w:szCs w:val="32"/>
          <w:lang w:eastAsia="zh-CN"/>
        </w:rPr>
        <w:t>离退休干部工作“三化建设”</w:t>
      </w:r>
      <w:r>
        <w:rPr>
          <w:rFonts w:hint="eastAsia" w:ascii="仿宋_GB2312" w:hAnsi="仿宋_GB2312" w:eastAsia="仿宋_GB2312" w:cs="仿宋_GB2312"/>
          <w:b/>
          <w:bCs/>
          <w:spacing w:val="0"/>
          <w:sz w:val="32"/>
          <w:szCs w:val="32"/>
          <w:lang w:val="en-US" w:eastAsia="zh-CN"/>
        </w:rPr>
        <w:t>得到加强。</w:t>
      </w:r>
      <w:r>
        <w:rPr>
          <w:rFonts w:hint="eastAsia" w:ascii="仿宋_GB2312" w:hAnsi="仿宋_GB2312" w:eastAsia="仿宋_GB2312" w:cs="仿宋_GB2312"/>
          <w:b w:val="0"/>
          <w:bCs w:val="0"/>
          <w:spacing w:val="0"/>
          <w:sz w:val="32"/>
          <w:szCs w:val="32"/>
          <w:lang w:eastAsia="zh-CN"/>
        </w:rPr>
        <w:t>结合实际贯彻落实省委组织部、省委老干部局联合印发的云南省离退休干部工作信息化建设、精准化服务、规范化建设工作细则（云老通〔2021〕52号），结合昆明市离退休干部工作“三化”建设工作措施，</w:t>
      </w:r>
      <w:r>
        <w:rPr>
          <w:rFonts w:hint="eastAsia" w:ascii="仿宋_GB2312" w:hAnsi="仿宋_GB2312" w:eastAsia="仿宋_GB2312" w:cs="仿宋_GB2312"/>
          <w:b w:val="0"/>
          <w:bCs w:val="0"/>
          <w:spacing w:val="0"/>
          <w:sz w:val="32"/>
          <w:szCs w:val="32"/>
          <w:lang w:val="en-US" w:eastAsia="zh-CN"/>
        </w:rPr>
        <w:t>研究</w:t>
      </w:r>
      <w:r>
        <w:rPr>
          <w:rFonts w:hint="eastAsia" w:ascii="仿宋_GB2312" w:hAnsi="仿宋_GB2312" w:eastAsia="仿宋_GB2312" w:cs="仿宋_GB2312"/>
          <w:b w:val="0"/>
          <w:bCs w:val="0"/>
          <w:spacing w:val="0"/>
          <w:sz w:val="32"/>
          <w:szCs w:val="32"/>
          <w:lang w:eastAsia="zh-CN"/>
        </w:rPr>
        <w:t>制定呈贡区离退休干部工作“三化”建设工作措施，进一步转化为推进离退休干部工作高质量发展的具体举措。</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bCs/>
          <w:spacing w:val="0"/>
          <w:sz w:val="32"/>
          <w:szCs w:val="32"/>
          <w:lang w:eastAsia="zh-CN"/>
        </w:rPr>
        <w:t>一是</w:t>
      </w:r>
      <w:r>
        <w:rPr>
          <w:rFonts w:hint="eastAsia" w:ascii="仿宋_GB2312" w:hAnsi="仿宋_GB2312" w:eastAsia="仿宋_GB2312" w:cs="仿宋_GB2312"/>
          <w:b w:val="0"/>
          <w:bCs w:val="0"/>
          <w:spacing w:val="0"/>
          <w:sz w:val="32"/>
          <w:szCs w:val="32"/>
          <w:lang w:eastAsia="zh-CN"/>
        </w:rPr>
        <w:t>积极推进信息化建设。充分利用“两微一系统”平台，坚持微信公众平台、微博的信息推送频次，提升内容质量，充实和完善“云南省离退休干部管理系统”数据，充分利用新兴网络媒体和信息传播技术，积极打造网络学习平台，为离退休干部管理、学习、交流创造条件。同时，通过建立“老同志交流群”、“呈贡离退休支部群”微信群，为离退休干部搭建互动交流新渠道。2022年，利用微信公众平台、微博推送信息45期180条，离退休干部党支部“云岭先锋”APP使用率达100%，离退休党员积极使用“学习强国”APP学习，全区“互联网+党建+服务+管理”的离退休干部工作模式初见成效。</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bCs/>
          <w:spacing w:val="0"/>
          <w:sz w:val="32"/>
          <w:szCs w:val="32"/>
          <w:lang w:eastAsia="zh-CN"/>
        </w:rPr>
        <w:t>二是</w:t>
      </w:r>
      <w:r>
        <w:rPr>
          <w:rFonts w:hint="eastAsia" w:ascii="仿宋_GB2312" w:hAnsi="仿宋_GB2312" w:eastAsia="仿宋_GB2312" w:cs="仿宋_GB2312"/>
          <w:b w:val="0"/>
          <w:bCs w:val="0"/>
          <w:spacing w:val="0"/>
          <w:sz w:val="32"/>
          <w:szCs w:val="32"/>
          <w:lang w:eastAsia="zh-CN"/>
        </w:rPr>
        <w:t>贯彻落实精准化管理。践行“老有所呼，我必有应”的工作理念，千方百计为离退休干部解决实际困难。按照《呈贡区推进作风革命加强机关效能建设的实施细则》、“当好排头兵”大讨论大竞赛活动要求和中共昆明市委老干部局《关于在全市离退休干部中开展遍访工作的通知》要求，制定《区委老干部局在职干部职工联系离退休干部制度》，广泛开展联系和遍访离退休干部活动。2022年，精准帮扶困难离退休干部2名，发放帮扶解困金10000元，离休干部助老员2名，为全区10名离休干部和13名居住在呈贡区的离休干部开展送学上门、送温暖上门、医疗费报销等服务160余次，在职干部职工联系离退休干部393名，收集意见建议19条，帮助解决实际困难7件次。</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bCs/>
          <w:spacing w:val="0"/>
          <w:sz w:val="32"/>
          <w:szCs w:val="32"/>
          <w:lang w:eastAsia="zh-CN"/>
        </w:rPr>
        <w:t>三是</w:t>
      </w:r>
      <w:r>
        <w:rPr>
          <w:rFonts w:hint="eastAsia" w:ascii="仿宋_GB2312" w:hAnsi="仿宋_GB2312" w:eastAsia="仿宋_GB2312" w:cs="仿宋_GB2312"/>
          <w:b w:val="0"/>
          <w:bCs w:val="0"/>
          <w:spacing w:val="0"/>
          <w:sz w:val="32"/>
          <w:szCs w:val="32"/>
          <w:lang w:eastAsia="zh-CN"/>
        </w:rPr>
        <w:t>着力提升规范化水平。进一步贯彻落实中共昆明市呈贡区委办公室《关于进一步规范全区机关事业单位离退休干部日常服务管理工作的通知》，继续指导督促各部委办局、各街道做好离退休干部日常服务管理工作。</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3.</w:t>
      </w:r>
      <w:r>
        <w:rPr>
          <w:rFonts w:hint="eastAsia" w:ascii="仿宋_GB2312" w:hAnsi="仿宋_GB2312" w:eastAsia="仿宋_GB2312" w:cs="仿宋_GB2312"/>
          <w:b/>
          <w:bCs/>
          <w:spacing w:val="0"/>
          <w:sz w:val="32"/>
          <w:szCs w:val="32"/>
          <w:lang w:eastAsia="zh-CN"/>
        </w:rPr>
        <w:t>离退休干部学习活动阵地建设</w:t>
      </w:r>
      <w:r>
        <w:rPr>
          <w:rFonts w:hint="eastAsia" w:ascii="仿宋_GB2312" w:hAnsi="仿宋_GB2312" w:eastAsia="仿宋_GB2312" w:cs="仿宋_GB2312"/>
          <w:b/>
          <w:bCs/>
          <w:spacing w:val="0"/>
          <w:sz w:val="32"/>
          <w:szCs w:val="32"/>
          <w:lang w:val="en-US" w:eastAsia="zh-CN"/>
        </w:rPr>
        <w:t>有力整合。</w:t>
      </w:r>
      <w:r>
        <w:rPr>
          <w:rFonts w:hint="eastAsia" w:ascii="仿宋_GB2312" w:hAnsi="仿宋_GB2312" w:eastAsia="仿宋_GB2312" w:cs="仿宋_GB2312"/>
          <w:spacing w:val="0"/>
          <w:sz w:val="32"/>
          <w:szCs w:val="32"/>
          <w:lang w:eastAsia="zh-CN"/>
        </w:rPr>
        <w:t>配合文旅等相关部门，推进文体活动中心建设，确保如期建成使用。坚持以就近学习、就近活动、就近得到关心照顾、就近发挥作用为目标，在现有工作基础上，进一步加大资源整合力度，创建一批规范化社区老年学校，提高新成立城市社区老年学校覆盖率，更好满足老同志需求。发挥好老年大学（老干部党校）、老干部活动中心主阵地作用，从老同志实际特点出发，创新学习活动形式，丰富学习活动内容，提高学习活动质量，努力打造全区离退休干部的政治高地、活动阵地、文化园地、精神属地和正能量发源地。</w:t>
      </w:r>
      <w:r>
        <w:rPr>
          <w:rFonts w:hint="eastAsia" w:ascii="仿宋_GB2312" w:hAnsi="仿宋_GB2312" w:eastAsia="仿宋_GB2312" w:cs="仿宋_GB2312"/>
          <w:spacing w:val="0"/>
          <w:sz w:val="32"/>
          <w:szCs w:val="32"/>
          <w:lang w:val="en-US" w:eastAsia="zh-CN"/>
        </w:rPr>
        <w:t>2022</w:t>
      </w:r>
      <w:r>
        <w:rPr>
          <w:rFonts w:hint="eastAsia" w:ascii="仿宋_GB2312" w:hAnsi="仿宋_GB2312" w:eastAsia="仿宋_GB2312" w:cs="仿宋_GB2312"/>
          <w:spacing w:val="0"/>
          <w:sz w:val="32"/>
          <w:szCs w:val="32"/>
          <w:lang w:eastAsia="zh-CN"/>
        </w:rPr>
        <w:t>年，区委老干部局派员参加全区文体活动中心项目工作领导小组会议</w:t>
      </w:r>
      <w:r>
        <w:rPr>
          <w:rFonts w:hint="eastAsia" w:ascii="仿宋_GB2312" w:hAnsi="仿宋_GB2312" w:eastAsia="仿宋_GB2312" w:cs="仿宋_GB2312"/>
          <w:spacing w:val="0"/>
          <w:sz w:val="32"/>
          <w:szCs w:val="32"/>
          <w:lang w:val="en-US" w:eastAsia="zh-CN"/>
        </w:rPr>
        <w:t>4次，提供意见建议4条。老年大学2022年开设专业17个、班级176个，招收学员4421人次，新建社区老年学校3个。</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4.</w:t>
      </w:r>
      <w:r>
        <w:rPr>
          <w:rFonts w:hint="eastAsia" w:ascii="仿宋_GB2312" w:hAnsi="仿宋_GB2312" w:eastAsia="仿宋_GB2312" w:cs="仿宋_GB2312"/>
          <w:b/>
          <w:bCs/>
          <w:spacing w:val="0"/>
          <w:sz w:val="32"/>
          <w:szCs w:val="32"/>
          <w:lang w:eastAsia="zh-CN"/>
        </w:rPr>
        <w:t>离退休干部工作品牌活动</w:t>
      </w:r>
      <w:r>
        <w:rPr>
          <w:rFonts w:hint="eastAsia" w:ascii="仿宋_GB2312" w:hAnsi="仿宋_GB2312" w:eastAsia="仿宋_GB2312" w:cs="仿宋_GB2312"/>
          <w:b/>
          <w:bCs/>
          <w:spacing w:val="0"/>
          <w:sz w:val="32"/>
          <w:szCs w:val="32"/>
          <w:lang w:val="en-US" w:eastAsia="zh-CN"/>
        </w:rPr>
        <w:t>有序</w:t>
      </w:r>
      <w:r>
        <w:rPr>
          <w:rFonts w:hint="eastAsia" w:ascii="仿宋_GB2312" w:hAnsi="仿宋_GB2312" w:eastAsia="仿宋_GB2312" w:cs="仿宋_GB2312"/>
          <w:b/>
          <w:bCs/>
          <w:spacing w:val="0"/>
          <w:sz w:val="32"/>
          <w:szCs w:val="32"/>
          <w:lang w:eastAsia="zh-CN"/>
        </w:rPr>
        <w:t>开展。一是</w:t>
      </w:r>
      <w:r>
        <w:rPr>
          <w:rFonts w:hint="eastAsia" w:ascii="仿宋_GB2312" w:hAnsi="仿宋_GB2312" w:eastAsia="仿宋_GB2312" w:cs="仿宋_GB2312"/>
          <w:spacing w:val="0"/>
          <w:sz w:val="32"/>
          <w:szCs w:val="32"/>
          <w:lang w:eastAsia="zh-CN"/>
        </w:rPr>
        <w:t>精心谋划，主动参与，坚持把比学赶超活动与呈贡区开展“当好排头兵”大讨论大竞赛活动紧密结合作为内强素质的工作品牌，突出解决问题，提升质量水平，进一步拓展比学赶超活动内涵，明确“比”是比成绩、比成效，“学”是学方法、学经验，“赶”是赶上游、争上游，“超”是超越自我、自我提升的导向，扎实有效推动离退休干部工作提质增效。上半年，</w:t>
      </w:r>
      <w:r>
        <w:rPr>
          <w:rFonts w:hint="eastAsia" w:ascii="仿宋_GB2312" w:hAnsi="仿宋_GB2312" w:eastAsia="仿宋_GB2312" w:cs="仿宋_GB2312"/>
          <w:spacing w:val="0"/>
          <w:sz w:val="32"/>
          <w:szCs w:val="32"/>
          <w:lang w:val="en-US" w:eastAsia="zh-CN"/>
        </w:rPr>
        <w:t>制定出台</w:t>
      </w:r>
      <w:r>
        <w:rPr>
          <w:rFonts w:hint="eastAsia" w:ascii="仿宋_GB2312" w:hAnsi="仿宋_GB2312" w:eastAsia="仿宋_GB2312" w:cs="仿宋_GB2312"/>
          <w:spacing w:val="0"/>
          <w:sz w:val="32"/>
          <w:szCs w:val="32"/>
          <w:lang w:eastAsia="zh-CN"/>
        </w:rPr>
        <w:t>开展“当好排头兵”大讨论大竞赛活动工作方案，</w:t>
      </w:r>
      <w:r>
        <w:rPr>
          <w:rFonts w:hint="eastAsia" w:ascii="仿宋_GB2312" w:hAnsi="仿宋_GB2312" w:eastAsia="仿宋_GB2312" w:cs="仿宋_GB2312"/>
          <w:spacing w:val="0"/>
          <w:sz w:val="32"/>
          <w:szCs w:val="32"/>
          <w:lang w:val="en-US" w:eastAsia="zh-CN"/>
        </w:rPr>
        <w:t>按要求认真完成规定任务，围绕昆明市在产业强省建设、一流营商环境建设、创新发展和改革开放、城市建设管理、坚持人民至上增进民生福祉、激励干部队伍干事创业激情“六个方面”当好排头兵的重要部署开展工作大竞赛，通过“找”差距、“晒”成绩、“比”作为，进一步传导压力、学习先进、督促后进、激发干劲，形成比学赶超的良好氛围。</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eastAsia="zh-CN"/>
        </w:rPr>
        <w:t>二是</w:t>
      </w:r>
      <w:r>
        <w:rPr>
          <w:rFonts w:hint="eastAsia" w:ascii="仿宋_GB2312" w:hAnsi="仿宋_GB2312" w:eastAsia="仿宋_GB2312" w:cs="仿宋_GB2312"/>
          <w:spacing w:val="0"/>
          <w:sz w:val="32"/>
          <w:szCs w:val="32"/>
          <w:lang w:eastAsia="zh-CN"/>
        </w:rPr>
        <w:t>继续巩固“银发聚力彩云南·助力呈贡新跨越”系列活动效果，进一步发挥离退休干部政治优势、经验优势、威望优势，继续选树“优秀志愿服务项目”“最美春城银霞志愿服务队”和“最美春城银霞志愿服务之星”，征集志愿服务微故事，扩大影响力，吸引更多的离退休干部积极参与，助推志愿服务活动规范化、常态化。</w:t>
      </w:r>
      <w:r>
        <w:rPr>
          <w:rFonts w:hint="eastAsia" w:ascii="仿宋_GB2312" w:hAnsi="仿宋_GB2312" w:eastAsia="仿宋_GB2312" w:cs="仿宋_GB2312"/>
          <w:spacing w:val="0"/>
          <w:sz w:val="32"/>
          <w:szCs w:val="32"/>
          <w:lang w:val="en-US" w:eastAsia="zh-CN"/>
        </w:rPr>
        <w:t>2022</w:t>
      </w:r>
      <w:r>
        <w:rPr>
          <w:rFonts w:hint="eastAsia" w:ascii="仿宋_GB2312" w:hAnsi="仿宋_GB2312" w:eastAsia="仿宋_GB2312" w:cs="仿宋_GB2312"/>
          <w:spacing w:val="0"/>
          <w:sz w:val="32"/>
          <w:szCs w:val="32"/>
          <w:lang w:eastAsia="zh-CN"/>
        </w:rPr>
        <w:t>年，组建</w:t>
      </w:r>
      <w:r>
        <w:rPr>
          <w:rFonts w:hint="eastAsia" w:ascii="仿宋_GB2312" w:hAnsi="仿宋_GB2312" w:eastAsia="仿宋_GB2312" w:cs="仿宋_GB2312"/>
          <w:spacing w:val="0"/>
          <w:sz w:val="32"/>
          <w:szCs w:val="32"/>
          <w:lang w:val="en-US" w:eastAsia="zh-CN"/>
        </w:rPr>
        <w:t>成立</w:t>
      </w:r>
      <w:r>
        <w:rPr>
          <w:rFonts w:hint="eastAsia" w:ascii="仿宋_GB2312" w:hAnsi="仿宋_GB2312" w:eastAsia="仿宋_GB2312" w:cs="仿宋_GB2312"/>
          <w:spacing w:val="0"/>
          <w:sz w:val="32"/>
          <w:szCs w:val="32"/>
          <w:lang w:eastAsia="zh-CN"/>
        </w:rPr>
        <w:t>呈贡区“银发先锋</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eastAsia="zh-CN"/>
        </w:rPr>
        <w:t>滇池卫士”志愿服务队，</w:t>
      </w:r>
      <w:r>
        <w:rPr>
          <w:rFonts w:hint="eastAsia" w:ascii="仿宋_GB2312" w:hAnsi="仿宋_GB2312" w:eastAsia="仿宋_GB2312" w:cs="仿宋_GB2312"/>
          <w:spacing w:val="0"/>
          <w:sz w:val="32"/>
          <w:szCs w:val="32"/>
          <w:lang w:val="en-US" w:eastAsia="zh-CN"/>
        </w:rPr>
        <w:t>组织开展志愿服务活动7次。</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三是</w:t>
      </w:r>
      <w:r>
        <w:rPr>
          <w:rFonts w:hint="eastAsia" w:ascii="仿宋_GB2312" w:hAnsi="仿宋_GB2312" w:eastAsia="仿宋_GB2312" w:cs="仿宋_GB2312"/>
          <w:spacing w:val="0"/>
          <w:sz w:val="32"/>
          <w:szCs w:val="32"/>
          <w:lang w:val="en-US" w:eastAsia="zh-CN"/>
        </w:rPr>
        <w:t>精心组织“为党和人民的事业增添正能量”活动。2022年，印发《关于在全区离退休干部中持续开展“为党和人民的事业增添正能量”活动的通知》，牢牢抓住党的二十大召开这一重大时间节点，以专题培训、主题党日、调研座谈、参观考察等多种形式，组织离退休干部开展主题鲜明、内容丰富、形式新颖、针对性强的“十个一”正能量系列活动。</w:t>
      </w:r>
    </w:p>
    <w:p>
      <w:pPr>
        <w:topLinePunct/>
        <w:ind w:firstLine="594" w:firstLineChars="200"/>
        <w:rPr>
          <w:rFonts w:hint="eastAsia" w:ascii="仿宋_GB2312"/>
          <w:szCs w:val="32"/>
        </w:rPr>
      </w:pPr>
      <w:r>
        <w:rPr>
          <w:rFonts w:hint="eastAsia" w:ascii="仿宋_GB2312"/>
          <w:b/>
          <w:szCs w:val="32"/>
        </w:rPr>
        <w:t>强化信息公开，接受社会监督。</w:t>
      </w:r>
      <w:r>
        <w:rPr>
          <w:rFonts w:ascii="仿宋_GB2312"/>
          <w:szCs w:val="32"/>
        </w:rPr>
        <w:t>20</w:t>
      </w:r>
      <w:r>
        <w:rPr>
          <w:rFonts w:hint="eastAsia" w:ascii="仿宋_GB2312"/>
          <w:szCs w:val="32"/>
          <w:lang w:val="en-US" w:eastAsia="zh-CN"/>
        </w:rPr>
        <w:t>22</w:t>
      </w:r>
      <w:r>
        <w:rPr>
          <w:rFonts w:hint="eastAsia" w:ascii="仿宋_GB2312"/>
          <w:szCs w:val="32"/>
        </w:rPr>
        <w:t>年度呈贡区</w:t>
      </w:r>
      <w:r>
        <w:rPr>
          <w:rFonts w:hint="eastAsia" w:ascii="仿宋_GB2312"/>
          <w:szCs w:val="32"/>
          <w:lang w:val="en-US" w:eastAsia="zh-CN"/>
        </w:rPr>
        <w:t>委老干部局</w:t>
      </w:r>
      <w:r>
        <w:rPr>
          <w:rFonts w:hint="eastAsia" w:ascii="仿宋_GB2312"/>
          <w:szCs w:val="32"/>
        </w:rPr>
        <w:t>严格按照呈贡区财政局的相关要求按时将部门预算在呈贡区政府门户网站进行了公开，接受社会监督，并按时向区财政局规口管理的社保科报送公开相关材料。</w:t>
      </w:r>
    </w:p>
    <w:p>
      <w:pPr>
        <w:spacing w:line="560" w:lineRule="exact"/>
        <w:ind w:firstLine="594" w:firstLineChars="200"/>
        <w:rPr>
          <w:rFonts w:ascii="Times New Roman" w:hAnsi="Times New Roman" w:cs="Times New Roman"/>
          <w:szCs w:val="32"/>
        </w:rPr>
      </w:pPr>
      <w:r>
        <w:rPr>
          <w:rFonts w:hint="eastAsia" w:ascii="仿宋_GB2312"/>
          <w:b/>
          <w:szCs w:val="32"/>
        </w:rPr>
        <w:t>盘活财政存量资金，加强资金管理。</w:t>
      </w:r>
      <w:r>
        <w:rPr>
          <w:rFonts w:hint="eastAsia" w:ascii="Times New Roman" w:hAnsi="Times New Roman" w:cs="Times New Roman"/>
          <w:szCs w:val="32"/>
        </w:rPr>
        <w:t>认真按照《中华人民共和国预算法》、《中华人民共和国会计法》、《会计基础工作规范》及预算管理、绩效管理、资产管理、内部控制相关规定开展工作，对照资金使用办法和报销流程，严格资金审批使用管理，对符合使用条件的项目，按照相关流程进行拨付使用，以保证单位财务会计管理的合法合规，财务报告及数据信息真实性、完整性、规范性。</w:t>
      </w:r>
    </w:p>
    <w:p>
      <w:pPr>
        <w:topLinePunct/>
        <w:ind w:firstLine="594" w:firstLineChars="200"/>
        <w:rPr>
          <w:rFonts w:hint="eastAsia" w:ascii="Times New Roman" w:hAnsi="Times New Roman" w:cs="Times New Roman"/>
          <w:szCs w:val="32"/>
        </w:rPr>
      </w:pPr>
      <w:r>
        <w:rPr>
          <w:rFonts w:hint="eastAsia" w:ascii="仿宋_GB2312"/>
          <w:b/>
          <w:szCs w:val="32"/>
        </w:rPr>
        <w:t>严格单位资产管理。</w:t>
      </w:r>
      <w:r>
        <w:rPr>
          <w:rFonts w:hint="eastAsia" w:ascii="Times New Roman" w:hAnsi="Times New Roman" w:cs="Times New Roman"/>
          <w:szCs w:val="32"/>
        </w:rPr>
        <w:t>按照区财政局国有资产管理要求，对资产实行“统一领导，归口管理”，由办公室进行固定资产登记、建账、核算和管理，所有固定资产的购买、领用、收回、核销、报废等手续均由办公室负责，政府采购后及时入账并录入固定资产管理系统，做到账实相符、账账相符。</w:t>
      </w:r>
    </w:p>
    <w:p>
      <w:pPr>
        <w:topLinePunct/>
        <w:ind w:firstLine="594" w:firstLineChars="200"/>
        <w:rPr>
          <w:rFonts w:hint="eastAsia" w:ascii="仿宋_GB2312"/>
          <w:b w:val="0"/>
          <w:bCs/>
          <w:szCs w:val="32"/>
          <w:lang w:val="en-US" w:eastAsia="zh-CN"/>
        </w:rPr>
      </w:pPr>
      <w:r>
        <w:rPr>
          <w:rFonts w:hint="eastAsia" w:ascii="仿宋_GB2312"/>
          <w:b/>
          <w:bCs w:val="0"/>
          <w:szCs w:val="32"/>
        </w:rPr>
        <w:t>严控“三公”经费支出，实现“三公”经费负增长。</w:t>
      </w:r>
      <w:r>
        <w:rPr>
          <w:rFonts w:hint="eastAsia" w:ascii="仿宋_GB2312"/>
          <w:b w:val="0"/>
          <w:bCs/>
          <w:szCs w:val="32"/>
        </w:rPr>
        <w:t>“三公”经费本着励行节约的原则逐年减少，202</w:t>
      </w:r>
      <w:r>
        <w:rPr>
          <w:rFonts w:hint="eastAsia" w:ascii="仿宋_GB2312"/>
          <w:b w:val="0"/>
          <w:bCs/>
          <w:szCs w:val="32"/>
          <w:lang w:val="en-US" w:eastAsia="zh-CN"/>
        </w:rPr>
        <w:t>2</w:t>
      </w:r>
      <w:r>
        <w:rPr>
          <w:rFonts w:hint="eastAsia" w:ascii="仿宋_GB2312"/>
          <w:b w:val="0"/>
          <w:bCs/>
          <w:szCs w:val="32"/>
        </w:rPr>
        <w:t>年度</w:t>
      </w:r>
      <w:r>
        <w:rPr>
          <w:rFonts w:hint="eastAsia" w:ascii="仿宋_GB2312"/>
          <w:b w:val="0"/>
          <w:bCs/>
          <w:szCs w:val="32"/>
          <w:lang w:val="en-US" w:eastAsia="zh-CN"/>
        </w:rPr>
        <w:t>我局无</w:t>
      </w:r>
      <w:r>
        <w:rPr>
          <w:rFonts w:hint="eastAsia" w:ascii="仿宋_GB2312"/>
          <w:b w:val="0"/>
          <w:bCs/>
          <w:szCs w:val="32"/>
        </w:rPr>
        <w:t>公务</w:t>
      </w:r>
      <w:r>
        <w:rPr>
          <w:rFonts w:hint="eastAsia" w:ascii="仿宋_GB2312"/>
          <w:b w:val="0"/>
          <w:bCs/>
          <w:szCs w:val="32"/>
          <w:lang w:val="en-US" w:eastAsia="zh-CN"/>
        </w:rPr>
        <w:t>用车运行维护、公务接待和因公出国（境）支出，严格遵守中央八项规定，厉行节约。</w:t>
      </w:r>
    </w:p>
    <w:p>
      <w:pPr>
        <w:spacing w:line="560" w:lineRule="exact"/>
        <w:ind w:firstLine="594" w:firstLineChars="200"/>
        <w:rPr>
          <w:rFonts w:hint="eastAsia" w:ascii="仿宋_GB2312"/>
          <w:szCs w:val="32"/>
        </w:rPr>
      </w:pPr>
      <w:r>
        <w:rPr>
          <w:rFonts w:hint="eastAsia" w:ascii="仿宋_GB2312"/>
          <w:b/>
          <w:szCs w:val="32"/>
        </w:rPr>
        <w:t>继续完善内部管理制度，强化制度管理。</w:t>
      </w:r>
      <w:r>
        <w:rPr>
          <w:rFonts w:ascii="仿宋_GB2312"/>
          <w:szCs w:val="32"/>
        </w:rPr>
        <w:t>20</w:t>
      </w:r>
      <w:r>
        <w:rPr>
          <w:rFonts w:hint="eastAsia" w:ascii="仿宋_GB2312"/>
          <w:szCs w:val="32"/>
          <w:lang w:val="en-US" w:eastAsia="zh-CN"/>
        </w:rPr>
        <w:t>22</w:t>
      </w:r>
      <w:r>
        <w:rPr>
          <w:rFonts w:hint="eastAsia" w:ascii="仿宋_GB2312"/>
          <w:szCs w:val="32"/>
        </w:rPr>
        <w:t>年度呈贡区</w:t>
      </w:r>
      <w:r>
        <w:rPr>
          <w:rFonts w:hint="eastAsia" w:ascii="仿宋_GB2312"/>
          <w:szCs w:val="32"/>
          <w:lang w:val="en-US" w:eastAsia="zh-CN"/>
        </w:rPr>
        <w:t>委老干部</w:t>
      </w:r>
      <w:r>
        <w:rPr>
          <w:rFonts w:hint="eastAsia" w:ascii="仿宋_GB2312"/>
          <w:szCs w:val="32"/>
        </w:rPr>
        <w:t>局继续完善各项工作职责及制度汇编，</w:t>
      </w:r>
      <w:r>
        <w:rPr>
          <w:rFonts w:hint="eastAsia" w:ascii="Times New Roman" w:hAnsi="Times New Roman" w:cs="Times New Roman"/>
          <w:szCs w:val="32"/>
        </w:rPr>
        <w:t>结合工作实际，成立区</w:t>
      </w:r>
      <w:r>
        <w:rPr>
          <w:rFonts w:hint="eastAsia" w:ascii="Times New Roman" w:hAnsi="Times New Roman" w:cs="Times New Roman"/>
          <w:szCs w:val="32"/>
          <w:lang w:val="en-US" w:eastAsia="zh-CN"/>
        </w:rPr>
        <w:t>老干部</w:t>
      </w:r>
      <w:r>
        <w:rPr>
          <w:rFonts w:hint="eastAsia" w:ascii="Times New Roman" w:hAnsi="Times New Roman" w:cs="Times New Roman"/>
          <w:szCs w:val="32"/>
        </w:rPr>
        <w:t>局内部控制规范领导小组，负责内部控制规范有关工作的日常工作，进一步加强经费管理，规范财务报销行为，有效防范经济活动风险。</w:t>
      </w:r>
    </w:p>
    <w:p>
      <w:pPr>
        <w:numPr>
          <w:ilvl w:val="0"/>
          <w:numId w:val="1"/>
        </w:numPr>
        <w:topLinePunct/>
        <w:ind w:left="0" w:leftChars="0" w:firstLine="594" w:firstLineChars="200"/>
        <w:rPr>
          <w:rFonts w:hint="eastAsia" w:ascii="仿宋_GB2312"/>
          <w:szCs w:val="32"/>
        </w:rPr>
      </w:pPr>
      <w:r>
        <w:rPr>
          <w:rFonts w:hint="eastAsia" w:ascii="仿宋_GB2312"/>
          <w:szCs w:val="32"/>
        </w:rPr>
        <w:t>部门整体支出或项目实施情况分析，主要包括资金到位、资金使用、资金管理、项目组织和项目管理情况分析等。</w:t>
      </w:r>
    </w:p>
    <w:p>
      <w:pPr>
        <w:spacing w:line="560" w:lineRule="exact"/>
        <w:ind w:firstLine="594" w:firstLineChars="200"/>
        <w:jc w:val="both"/>
        <w:rPr>
          <w:rFonts w:hint="eastAsia" w:ascii="仿宋_GB2312"/>
          <w:szCs w:val="32"/>
        </w:rPr>
      </w:pPr>
      <w:r>
        <w:rPr>
          <w:rFonts w:hint="eastAsia" w:ascii="仿宋_GB2312"/>
          <w:szCs w:val="32"/>
          <w:lang w:val="en-US" w:eastAsia="zh-CN"/>
        </w:rPr>
        <w:t>2022</w:t>
      </w:r>
      <w:r>
        <w:rPr>
          <w:rFonts w:hint="eastAsia" w:ascii="仿宋_GB2312"/>
          <w:szCs w:val="32"/>
        </w:rPr>
        <w:t>年</w:t>
      </w:r>
      <w:r>
        <w:rPr>
          <w:rFonts w:hint="eastAsia" w:ascii="仿宋_GB2312"/>
          <w:szCs w:val="32"/>
          <w:lang w:val="en-US" w:eastAsia="zh-CN"/>
        </w:rPr>
        <w:t>,</w:t>
      </w:r>
      <w:r>
        <w:rPr>
          <w:rFonts w:hint="eastAsia" w:ascii="仿宋_GB2312"/>
          <w:szCs w:val="32"/>
        </w:rPr>
        <w:t>资金到位5</w:t>
      </w:r>
      <w:r>
        <w:rPr>
          <w:rFonts w:hint="eastAsia" w:ascii="仿宋_GB2312"/>
          <w:szCs w:val="32"/>
          <w:lang w:val="en-US" w:eastAsia="zh-CN"/>
        </w:rPr>
        <w:t>,</w:t>
      </w:r>
      <w:r>
        <w:rPr>
          <w:rFonts w:hint="eastAsia" w:ascii="仿宋_GB2312"/>
          <w:szCs w:val="32"/>
        </w:rPr>
        <w:t>362</w:t>
      </w:r>
      <w:r>
        <w:rPr>
          <w:rFonts w:hint="eastAsia" w:ascii="仿宋_GB2312"/>
          <w:szCs w:val="32"/>
          <w:lang w:val="en-US" w:eastAsia="zh-CN"/>
        </w:rPr>
        <w:t>,</w:t>
      </w:r>
      <w:r>
        <w:rPr>
          <w:rFonts w:hint="eastAsia" w:ascii="仿宋_GB2312"/>
          <w:szCs w:val="32"/>
        </w:rPr>
        <w:t>028.8元，资金使用5</w:t>
      </w:r>
      <w:r>
        <w:rPr>
          <w:rFonts w:hint="eastAsia" w:ascii="仿宋_GB2312"/>
          <w:szCs w:val="32"/>
          <w:lang w:val="en-US" w:eastAsia="zh-CN"/>
        </w:rPr>
        <w:t>,</w:t>
      </w:r>
      <w:r>
        <w:rPr>
          <w:rFonts w:hint="eastAsia" w:ascii="仿宋_GB2312"/>
          <w:szCs w:val="32"/>
        </w:rPr>
        <w:t>230</w:t>
      </w:r>
      <w:r>
        <w:rPr>
          <w:rFonts w:hint="eastAsia" w:ascii="仿宋_GB2312"/>
          <w:szCs w:val="32"/>
          <w:lang w:val="en-US" w:eastAsia="zh-CN"/>
        </w:rPr>
        <w:t>,</w:t>
      </w:r>
      <w:r>
        <w:rPr>
          <w:rFonts w:hint="eastAsia" w:ascii="仿宋_GB2312"/>
          <w:szCs w:val="32"/>
        </w:rPr>
        <w:t>225.67元，资金到位率100%。资金管理和使用严格依照财政法规和财经纪律执行，未出现违规情况。</w:t>
      </w:r>
    </w:p>
    <w:p>
      <w:pPr>
        <w:topLinePunct/>
        <w:ind w:firstLine="594" w:firstLineChars="200"/>
        <w:rPr>
          <w:rFonts w:ascii="黑体" w:eastAsia="黑体"/>
          <w:szCs w:val="32"/>
        </w:rPr>
      </w:pPr>
      <w:r>
        <w:rPr>
          <w:rFonts w:hint="eastAsia" w:ascii="黑体" w:eastAsia="黑体"/>
          <w:szCs w:val="32"/>
        </w:rPr>
        <w:t>二、绩效评价工作情况</w:t>
      </w:r>
    </w:p>
    <w:p>
      <w:pPr>
        <w:topLinePunct/>
        <w:ind w:firstLine="594" w:firstLineChars="200"/>
        <w:jc w:val="both"/>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绩效评价目的。</w:t>
      </w:r>
    </w:p>
    <w:p>
      <w:pPr>
        <w:topLinePunct/>
        <w:ind w:firstLine="59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通过绩效评价，全面分析和综合评价我局财政预算资金的使用管理情况，客观反映资产管理情况、“三公”经费控制及预决算公开情况、存量资金管理情况，进一步推进</w:t>
      </w:r>
      <w:r>
        <w:rPr>
          <w:rFonts w:hint="eastAsia" w:ascii="仿宋_GB2312" w:hAnsi="仿宋_GB2312" w:cs="仿宋_GB2312"/>
          <w:sz w:val="32"/>
          <w:szCs w:val="32"/>
          <w:lang w:val="en-US" w:eastAsia="zh-CN"/>
        </w:rPr>
        <w:t>离退休干部管理</w:t>
      </w:r>
      <w:r>
        <w:rPr>
          <w:rFonts w:hint="eastAsia" w:ascii="仿宋_GB2312" w:hAnsi="仿宋_GB2312" w:eastAsia="仿宋_GB2312" w:cs="仿宋_GB2312"/>
          <w:sz w:val="32"/>
          <w:szCs w:val="32"/>
        </w:rPr>
        <w:t>工作的制度化、规范化和程序化建设，为切实提高财政资金使用效益，强化预算支出的责任和效率提供参考依据。同时，通过绩效评价，把握部门整体支出情况，从部门整体投入、过程管理、单位整体履职情况及单位整体履职效益等方面找出单位行政运行中存在的问题，紧扣提高行政效能的主题，提出相应的改进意见和建议，以提高部门绩效管理意识，切实推进绩效管理，完善预算管理制度、创新机制、加强管理、强化监督，保证单位整体运行及资金使用管理的规范性、安全性和有效性，提高部门的工作效率和资金使用效益。最后，总结部门整体支出绩效评价的试点经验，为下一步部门整体支出绩效评价的逐步推广积累经验奠定基础。</w:t>
      </w:r>
    </w:p>
    <w:p>
      <w:pPr>
        <w:numPr>
          <w:ilvl w:val="0"/>
          <w:numId w:val="2"/>
        </w:numPr>
        <w:topLinePunct/>
        <w:ind w:firstLine="59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绩效评价工作过程，主要包括前期准备、组织实施和分析评价等内容。</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1.前期准备。根据财政支出绩效评价工作安排，组成由</w:t>
      </w:r>
      <w:r>
        <w:rPr>
          <w:rFonts w:hint="eastAsia" w:ascii="仿宋_GB2312" w:hAnsi="仿宋_GB2312" w:cs="仿宋_GB2312"/>
          <w:sz w:val="32"/>
          <w:szCs w:val="32"/>
          <w:lang w:val="en-US" w:eastAsia="zh-CN"/>
        </w:rPr>
        <w:t>沈开宏</w:t>
      </w:r>
      <w:r>
        <w:rPr>
          <w:rFonts w:hint="eastAsia" w:ascii="仿宋_GB2312" w:hAnsi="仿宋_GB2312" w:eastAsia="仿宋_GB2312" w:cs="仿宋_GB2312"/>
          <w:sz w:val="32"/>
          <w:szCs w:val="32"/>
        </w:rPr>
        <w:t>同志任组长的绩效评价工作组，负责本局的绩效评价工作的组织领导和具体实施，开展前期调研，收集与绩效评价相关的文件资料，为研究制定绩效评价工作方案做好前期准备。</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2.研究制定绩效评价实施方案。根据绩效评价工作组的整体要求和部署，在前期调研的基础上，在与相关业务科室和财政部门进行密切配合和沟通反馈的基础上研究制定202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年度部门整体支出绩效评价实施方案。</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3.收集基础数据和实施具体评价工作。绩效评价工作组根据绩效评价实施方案和评价指标体系的要求开展实施具体评价工作，对呈贡区</w:t>
      </w:r>
      <w:r>
        <w:rPr>
          <w:rFonts w:hint="eastAsia" w:ascii="仿宋_GB2312" w:hAnsi="仿宋_GB2312" w:cs="仿宋_GB2312"/>
          <w:sz w:val="32"/>
          <w:szCs w:val="32"/>
          <w:lang w:val="en-US" w:eastAsia="zh-CN"/>
        </w:rPr>
        <w:t>委老干部局</w:t>
      </w: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年度部门整体绩效进行综合性评价，并获取相关的基础数据资料，完成绩效评价报告初稿。</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4.形成绩效评价正式报告。绩效评价工作组根据相关建议和意见对绩效评价报告进行修改完善，并形成正式的绩效评价报告。</w:t>
      </w:r>
    </w:p>
    <w:p>
      <w:pPr>
        <w:topLinePunct/>
        <w:ind w:firstLine="594" w:firstLineChars="200"/>
        <w:rPr>
          <w:rFonts w:ascii="黑体" w:eastAsia="黑体"/>
          <w:szCs w:val="32"/>
        </w:rPr>
      </w:pPr>
      <w:r>
        <w:rPr>
          <w:rFonts w:hint="eastAsia" w:ascii="黑体" w:eastAsia="黑体"/>
          <w:szCs w:val="32"/>
        </w:rPr>
        <w:t>三、主要绩效及评价结论</w:t>
      </w:r>
    </w:p>
    <w:p>
      <w:pPr>
        <w:topLinePunct/>
        <w:ind w:firstLine="594" w:firstLineChars="200"/>
        <w:jc w:val="both"/>
        <w:rPr>
          <w:rFonts w:hint="eastAsia" w:ascii="仿宋_GB2312"/>
          <w:szCs w:val="32"/>
        </w:rPr>
      </w:pPr>
      <w:r>
        <w:rPr>
          <w:rFonts w:ascii="仿宋_GB2312"/>
          <w:szCs w:val="32"/>
        </w:rPr>
        <w:t>1</w:t>
      </w:r>
      <w:r>
        <w:rPr>
          <w:rFonts w:hint="eastAsia" w:ascii="仿宋_GB2312"/>
          <w:szCs w:val="32"/>
        </w:rPr>
        <w:t>、经济性分析，主要包括成本（预算）控制情况和成本（预算）节约情况。</w:t>
      </w:r>
    </w:p>
    <w:p>
      <w:pPr>
        <w:topLinePunct/>
        <w:ind w:firstLine="594" w:firstLineChars="200"/>
        <w:jc w:val="both"/>
        <w:rPr>
          <w:rFonts w:hint="eastAsia" w:ascii="仿宋_GB2312"/>
          <w:szCs w:val="32"/>
        </w:rPr>
      </w:pPr>
      <w:r>
        <w:rPr>
          <w:rFonts w:hint="eastAsia" w:ascii="仿宋_GB2312"/>
          <w:szCs w:val="32"/>
        </w:rPr>
        <w:t>202</w:t>
      </w:r>
      <w:r>
        <w:rPr>
          <w:rFonts w:hint="eastAsia" w:ascii="仿宋_GB2312"/>
          <w:szCs w:val="32"/>
          <w:lang w:val="en-US" w:eastAsia="zh-CN"/>
        </w:rPr>
        <w:t>2</w:t>
      </w:r>
      <w:r>
        <w:rPr>
          <w:rFonts w:hint="eastAsia" w:ascii="仿宋_GB2312"/>
          <w:szCs w:val="32"/>
        </w:rPr>
        <w:t>年呈贡区</w:t>
      </w:r>
      <w:r>
        <w:rPr>
          <w:rFonts w:hint="eastAsia" w:ascii="仿宋_GB2312"/>
          <w:szCs w:val="32"/>
          <w:lang w:val="en-US" w:eastAsia="zh-CN"/>
        </w:rPr>
        <w:t>委老干部</w:t>
      </w:r>
      <w:r>
        <w:rPr>
          <w:rFonts w:hint="eastAsia" w:ascii="仿宋_GB2312"/>
          <w:szCs w:val="32"/>
        </w:rPr>
        <w:t>局整体支出按照区财政局下达的预算批复，对于基本支出中的工资福利支出、对个人和家庭补助支出按照实际在编人员及进度均衡支付；对于商品和服务支出按照下达预算执行，实现内部报告审批制度，监控支出情况；对于项目支出的经费使用情进行监督检查，按审批程序办理支付手续。“三公”经费本着</w:t>
      </w:r>
      <w:r>
        <w:rPr>
          <w:rFonts w:hint="eastAsia" w:ascii="仿宋_GB2312"/>
          <w:szCs w:val="32"/>
          <w:lang w:val="en-US" w:eastAsia="zh-CN"/>
        </w:rPr>
        <w:t>厉行</w:t>
      </w:r>
      <w:r>
        <w:rPr>
          <w:rFonts w:hint="eastAsia" w:ascii="仿宋_GB2312"/>
          <w:szCs w:val="32"/>
        </w:rPr>
        <w:t>节约的原则，实现了“三公”经费</w:t>
      </w:r>
      <w:r>
        <w:rPr>
          <w:rFonts w:hint="eastAsia" w:ascii="仿宋_GB2312"/>
          <w:szCs w:val="32"/>
          <w:lang w:val="en-US" w:eastAsia="zh-CN"/>
        </w:rPr>
        <w:t>零支出。</w:t>
      </w:r>
    </w:p>
    <w:p>
      <w:pPr>
        <w:numPr>
          <w:ilvl w:val="0"/>
          <w:numId w:val="3"/>
        </w:numPr>
        <w:topLinePunct/>
        <w:ind w:firstLine="594" w:firstLineChars="200"/>
        <w:jc w:val="both"/>
        <w:rPr>
          <w:rFonts w:hint="eastAsia" w:ascii="仿宋_GB2312"/>
          <w:szCs w:val="32"/>
        </w:rPr>
      </w:pPr>
      <w:r>
        <w:rPr>
          <w:rFonts w:hint="eastAsia" w:ascii="仿宋_GB2312"/>
          <w:szCs w:val="32"/>
        </w:rPr>
        <w:t>效率性分析，主要包括实施进度和完成质量。</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一是实施进度。202</w:t>
      </w:r>
      <w:r>
        <w:rPr>
          <w:rFonts w:hint="eastAsia" w:ascii="仿宋_GB2312"/>
          <w:szCs w:val="32"/>
          <w:lang w:val="en-US" w:eastAsia="zh-CN"/>
        </w:rPr>
        <w:t>2</w:t>
      </w:r>
      <w:r>
        <w:rPr>
          <w:rFonts w:hint="eastAsia" w:ascii="仿宋_GB2312"/>
          <w:szCs w:val="32"/>
        </w:rPr>
        <w:t>年呈贡区</w:t>
      </w:r>
      <w:r>
        <w:rPr>
          <w:rFonts w:hint="eastAsia" w:ascii="仿宋_GB2312"/>
          <w:szCs w:val="32"/>
          <w:lang w:val="en-US" w:eastAsia="zh-CN"/>
        </w:rPr>
        <w:t>委老干部</w:t>
      </w:r>
      <w:r>
        <w:rPr>
          <w:rFonts w:hint="eastAsia" w:ascii="仿宋_GB2312"/>
          <w:szCs w:val="32"/>
        </w:rPr>
        <w:t>局结合本部门工作时际，年初拟定工作计划，做到早计划早安排，各项工作提前谋划，各项资金按工作开展进度使用，财政资金使用进度排在全区前列。</w:t>
      </w:r>
    </w:p>
    <w:p>
      <w:pPr>
        <w:snapToGrid w:val="0"/>
        <w:spacing w:line="520" w:lineRule="exact"/>
        <w:ind w:firstLine="594" w:firstLineChars="200"/>
        <w:rPr>
          <w:rFonts w:hint="eastAsia" w:ascii="仿宋_GB2312"/>
          <w:szCs w:val="32"/>
        </w:rPr>
      </w:pPr>
      <w:r>
        <w:rPr>
          <w:rFonts w:hint="eastAsia" w:ascii="仿宋_GB2312"/>
          <w:szCs w:val="32"/>
        </w:rPr>
        <w:t>二是完成质量。</w:t>
      </w:r>
      <w:r>
        <w:rPr>
          <w:rFonts w:hint="eastAsia" w:ascii="仿宋_GB2312"/>
          <w:szCs w:val="32"/>
          <w:lang w:eastAsia="zh-CN"/>
        </w:rPr>
        <w:t>2022</w:t>
      </w:r>
      <w:r>
        <w:rPr>
          <w:rFonts w:hint="eastAsia" w:ascii="仿宋_GB2312"/>
          <w:szCs w:val="32"/>
        </w:rPr>
        <w:t>年</w:t>
      </w:r>
      <w:r>
        <w:rPr>
          <w:rFonts w:hint="eastAsia" w:ascii="仿宋_GB2312"/>
          <w:szCs w:val="32"/>
          <w:lang w:val="en-US" w:eastAsia="zh-CN"/>
        </w:rPr>
        <w:t>呈贡区委老干部局</w:t>
      </w:r>
      <w:r>
        <w:rPr>
          <w:rFonts w:hint="eastAsia" w:ascii="仿宋_GB2312"/>
          <w:szCs w:val="32"/>
        </w:rPr>
        <w:t>在区委、区政府的正确领导下认真</w:t>
      </w:r>
      <w:r>
        <w:rPr>
          <w:rFonts w:hint="eastAsia" w:ascii="仿宋_GB2312" w:hAnsi="仿宋" w:eastAsia="仿宋_GB2312"/>
          <w:sz w:val="32"/>
          <w:szCs w:val="32"/>
        </w:rPr>
        <w:t>贯彻执行中央、省市离退休干部的方针、政策和区委、区政府的各项决定，做好全区离退休干部的宏观管理和服务工作；负责组织老干部各项活动及重大节日的走访慰问工作，管理好老干部活动中心的日常工作和老年大学的教学及演出工作</w:t>
      </w:r>
      <w:r>
        <w:rPr>
          <w:rFonts w:hint="eastAsia" w:ascii="仿宋_GB2312"/>
          <w:szCs w:val="32"/>
        </w:rPr>
        <w:t>，圆满完成了区委、区政府下达给我局的目标任务。</w:t>
      </w:r>
    </w:p>
    <w:p>
      <w:pPr>
        <w:numPr>
          <w:ilvl w:val="0"/>
          <w:numId w:val="3"/>
        </w:numPr>
        <w:topLinePunct/>
        <w:ind w:left="0" w:leftChars="0" w:firstLine="594" w:firstLineChars="200"/>
        <w:jc w:val="both"/>
        <w:rPr>
          <w:rFonts w:hint="eastAsia" w:ascii="仿宋_GB2312"/>
          <w:szCs w:val="32"/>
        </w:rPr>
      </w:pPr>
      <w:r>
        <w:rPr>
          <w:rFonts w:hint="eastAsia" w:ascii="仿宋_GB2312"/>
          <w:szCs w:val="32"/>
        </w:rPr>
        <w:t>效益性分析，主要包括预期目标完成程度和对经济和社会的影响等。</w:t>
      </w:r>
    </w:p>
    <w:p>
      <w:pPr>
        <w:snapToGrid w:val="0"/>
        <w:spacing w:line="520" w:lineRule="exact"/>
        <w:ind w:firstLine="594" w:firstLineChars="200"/>
        <w:rPr>
          <w:rFonts w:hint="eastAsia"/>
        </w:rPr>
      </w:pPr>
      <w:r>
        <w:rPr>
          <w:rFonts w:hint="eastAsia" w:ascii="仿宋_GB2312"/>
          <w:szCs w:val="32"/>
        </w:rPr>
        <w:t>我局202</w:t>
      </w:r>
      <w:r>
        <w:rPr>
          <w:rFonts w:hint="eastAsia" w:ascii="仿宋_GB2312"/>
          <w:szCs w:val="32"/>
          <w:lang w:val="en-US" w:eastAsia="zh-CN"/>
        </w:rPr>
        <w:t>2</w:t>
      </w:r>
      <w:r>
        <w:rPr>
          <w:rFonts w:hint="eastAsia" w:ascii="仿宋_GB2312"/>
          <w:szCs w:val="32"/>
        </w:rPr>
        <w:t>年重点工作任务为：</w:t>
      </w:r>
      <w:r>
        <w:rPr>
          <w:rFonts w:hint="eastAsia" w:ascii="仿宋_GB2312" w:hAnsi="仿宋" w:eastAsia="仿宋_GB2312"/>
          <w:sz w:val="32"/>
          <w:szCs w:val="32"/>
        </w:rPr>
        <w:t>贯彻执行中央、省市离退休干部的方针、政策和区委、区政府的各项决定，做好全区离退休干部的宏观管理和服务工作；负责组织老干部各项活动及重大节日的走访慰问工作，管理好老干部活动中心的日常工作和老年大学的教学及演出工作。</w:t>
      </w:r>
    </w:p>
    <w:p>
      <w:pPr>
        <w:numPr>
          <w:ilvl w:val="0"/>
          <w:numId w:val="4"/>
        </w:numPr>
        <w:topLinePunct/>
        <w:ind w:firstLine="594" w:firstLineChars="200"/>
        <w:rPr>
          <w:rFonts w:hint="eastAsia" w:ascii="黑体" w:eastAsia="黑体"/>
          <w:szCs w:val="32"/>
        </w:rPr>
      </w:pPr>
      <w:r>
        <w:rPr>
          <w:rFonts w:hint="eastAsia" w:ascii="仿宋_GB2312"/>
          <w:szCs w:val="32"/>
          <w:lang w:eastAsia="zh-CN"/>
        </w:rPr>
        <w:t>2022</w:t>
      </w:r>
      <w:r>
        <w:rPr>
          <w:rFonts w:hint="eastAsia" w:ascii="仿宋_GB2312"/>
          <w:szCs w:val="32"/>
        </w:rPr>
        <w:t>年</w:t>
      </w:r>
      <w:r>
        <w:rPr>
          <w:rFonts w:hint="eastAsia" w:ascii="仿宋_GB2312"/>
          <w:szCs w:val="32"/>
          <w:lang w:val="en-US" w:eastAsia="zh-CN"/>
        </w:rPr>
        <w:t>呈贡区委老干部局</w:t>
      </w:r>
      <w:r>
        <w:rPr>
          <w:rFonts w:hint="eastAsia" w:ascii="仿宋_GB2312"/>
          <w:szCs w:val="32"/>
        </w:rPr>
        <w:t>在区委、区政府的正确领导下认真</w:t>
      </w:r>
      <w:r>
        <w:rPr>
          <w:rFonts w:hint="eastAsia" w:ascii="仿宋_GB2312" w:hAnsi="仿宋" w:eastAsia="仿宋_GB2312"/>
          <w:sz w:val="32"/>
          <w:szCs w:val="32"/>
        </w:rPr>
        <w:t>贯彻执行中央、省市离退休干部的方针、政策和区委、区政府的各项决定，做好全区离退休干部的宏观管理和服务工作；负责组织老干部各项活动及重大节日的走访慰问工作，管理好老干部活动中心的日常工作和老年大学的教学及演出工作</w:t>
      </w:r>
      <w:r>
        <w:rPr>
          <w:rFonts w:hint="eastAsia" w:ascii="仿宋_GB2312"/>
          <w:szCs w:val="32"/>
        </w:rPr>
        <w:t>，圆满完成了区委、区政府下达给我局的目标任务。</w:t>
      </w:r>
    </w:p>
    <w:p>
      <w:pPr>
        <w:numPr>
          <w:ilvl w:val="0"/>
          <w:numId w:val="4"/>
        </w:numPr>
        <w:topLinePunct/>
        <w:ind w:firstLine="594" w:firstLineChars="200"/>
        <w:rPr>
          <w:rFonts w:hint="eastAsia" w:ascii="黑体" w:eastAsia="黑体"/>
          <w:szCs w:val="32"/>
        </w:rPr>
      </w:pPr>
      <w:r>
        <w:rPr>
          <w:rFonts w:hint="eastAsia" w:ascii="黑体" w:eastAsia="黑体"/>
          <w:szCs w:val="32"/>
        </w:rPr>
        <w:t>存在的问题</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黑体" w:eastAsia="黑体"/>
          <w:szCs w:val="32"/>
        </w:rPr>
      </w:pPr>
      <w:r>
        <w:rPr>
          <w:rFonts w:hint="eastAsia" w:ascii="仿宋_GB2312"/>
          <w:szCs w:val="32"/>
        </w:rPr>
        <w:t>在编制部门年度预算时，虽已以本单位职能职责和年度工作计划为根据，但实际预算执行过程中，在资金安排和使用上仍存在不可预见性，导致一些项目资金无法如期支出或无法预计列入年初预算，需要在年度中间进行预算调整等问题。</w:t>
      </w:r>
    </w:p>
    <w:p>
      <w:pPr>
        <w:numPr>
          <w:ilvl w:val="0"/>
          <w:numId w:val="4"/>
        </w:numPr>
        <w:topLinePunct/>
        <w:ind w:left="0" w:leftChars="0" w:firstLine="594" w:firstLineChars="200"/>
        <w:rPr>
          <w:rFonts w:hint="eastAsia" w:ascii="黑体" w:eastAsia="黑体"/>
          <w:szCs w:val="32"/>
        </w:rPr>
      </w:pPr>
      <w:r>
        <w:rPr>
          <w:rFonts w:hint="eastAsia" w:ascii="黑体" w:eastAsia="黑体"/>
          <w:szCs w:val="32"/>
        </w:rPr>
        <w:t>有关建议</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szCs w:val="32"/>
        </w:rPr>
      </w:pPr>
      <w:r>
        <w:rPr>
          <w:rFonts w:hint="eastAsia" w:ascii="仿宋_GB2312"/>
          <w:szCs w:val="32"/>
        </w:rPr>
        <w:t>一是严格预算绩效目标申报，对重点项目资金投入大的项目辅助明细绩效申报，列明资金总投入、作用和效果，对项目和资金的全过程进行管理和监督。二是扩大对重点项目绩效运行的监控范围，跟踪查找管理薄弱环节，及时堵塞管理“漏洞”，纠正执行偏差。三是完善绩效评价制度办法，逐步形成有特色的支出绩效管理制度体系。</w:t>
      </w:r>
    </w:p>
    <w:p>
      <w:pPr>
        <w:numPr>
          <w:ilvl w:val="0"/>
          <w:numId w:val="4"/>
        </w:numPr>
        <w:topLinePunct/>
        <w:ind w:left="0" w:leftChars="0" w:firstLine="594" w:firstLineChars="200"/>
        <w:rPr>
          <w:rFonts w:hint="eastAsia" w:ascii="黑体" w:eastAsia="黑体"/>
          <w:szCs w:val="32"/>
        </w:rPr>
      </w:pPr>
      <w:r>
        <w:rPr>
          <w:rFonts w:hint="eastAsia" w:ascii="黑体" w:eastAsia="黑体"/>
          <w:szCs w:val="32"/>
        </w:rPr>
        <w:t>其他需要说明的问题</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default" w:ascii="仿宋_GB2312"/>
          <w:szCs w:val="32"/>
          <w:lang w:val="en-US" w:eastAsia="zh-CN"/>
        </w:rPr>
      </w:pPr>
      <w:r>
        <w:rPr>
          <w:rFonts w:hint="eastAsia" w:ascii="仿宋_GB2312"/>
          <w:szCs w:val="32"/>
          <w:lang w:val="en-US" w:eastAsia="zh-CN"/>
        </w:rPr>
        <w:t>无。</w:t>
      </w:r>
      <w:bookmarkStart w:id="0" w:name="_GoBack"/>
      <w:bookmarkEnd w:id="0"/>
    </w:p>
    <w:p/>
    <w:p/>
    <w:p/>
    <w:p>
      <w:pPr>
        <w:pStyle w:val="5"/>
        <w:rPr>
          <w:rFonts w:hint="eastAsia"/>
          <w:lang w:val="en-US" w:eastAsia="zh-CN"/>
        </w:rPr>
      </w:pPr>
    </w:p>
    <w:p>
      <w:pPr>
        <w:pStyle w:val="5"/>
        <w:jc w:val="right"/>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中国共产党</w:t>
      </w:r>
      <w:r>
        <w:rPr>
          <w:rFonts w:hint="eastAsia" w:ascii="Times New Roman" w:hAnsi="Times New Roman" w:eastAsia="仿宋_GB2312" w:cs="Times New Roman"/>
          <w:kern w:val="2"/>
          <w:sz w:val="32"/>
          <w:szCs w:val="32"/>
          <w:lang w:val="en-US" w:eastAsia="zh-CN" w:bidi="ar-SA"/>
        </w:rPr>
        <w:t>昆明市呈贡区</w:t>
      </w:r>
      <w:r>
        <w:rPr>
          <w:rFonts w:hint="eastAsia" w:eastAsia="仿宋_GB2312" w:cs="Times New Roman"/>
          <w:kern w:val="2"/>
          <w:sz w:val="32"/>
          <w:szCs w:val="32"/>
          <w:lang w:val="en-US" w:eastAsia="zh-CN" w:bidi="ar-SA"/>
        </w:rPr>
        <w:t>委员会老干部</w:t>
      </w:r>
      <w:r>
        <w:rPr>
          <w:rFonts w:hint="eastAsia" w:ascii="Times New Roman" w:hAnsi="Times New Roman" w:eastAsia="仿宋_GB2312" w:cs="Times New Roman"/>
          <w:kern w:val="2"/>
          <w:sz w:val="32"/>
          <w:szCs w:val="32"/>
          <w:lang w:val="en-US" w:eastAsia="zh-CN" w:bidi="ar-SA"/>
        </w:rPr>
        <w:t>局</w:t>
      </w:r>
    </w:p>
    <w:p>
      <w:pPr>
        <w:pStyle w:val="5"/>
        <w:jc w:val="righ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年</w:t>
      </w:r>
      <w:r>
        <w:rPr>
          <w:rFonts w:hint="eastAsia"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月</w:t>
      </w:r>
      <w:r>
        <w:rPr>
          <w:rFonts w:hint="eastAsia" w:eastAsia="仿宋_GB2312" w:cs="Times New Roman"/>
          <w:kern w:val="2"/>
          <w:sz w:val="32"/>
          <w:szCs w:val="32"/>
          <w:lang w:val="en-US" w:eastAsia="zh-CN" w:bidi="ar-SA"/>
        </w:rPr>
        <w:t>8</w:t>
      </w:r>
      <w:r>
        <w:rPr>
          <w:rFonts w:hint="eastAsia" w:ascii="Times New Roman" w:hAnsi="Times New Roman" w:eastAsia="仿宋_GB2312" w:cs="Times New Roman"/>
          <w:kern w:val="2"/>
          <w:sz w:val="32"/>
          <w:szCs w:val="32"/>
          <w:lang w:val="en-US" w:eastAsia="zh-CN" w:bidi="ar-SA"/>
        </w:rPr>
        <w:t>日</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3A998"/>
    <w:multiLevelType w:val="singleLevel"/>
    <w:tmpl w:val="ED93A998"/>
    <w:lvl w:ilvl="0" w:tentative="0">
      <w:start w:val="2"/>
      <w:numFmt w:val="chineseCounting"/>
      <w:suff w:val="nothing"/>
      <w:lvlText w:val="（%1）"/>
      <w:lvlJc w:val="left"/>
      <w:rPr>
        <w:rFonts w:hint="eastAsia"/>
      </w:rPr>
    </w:lvl>
  </w:abstractNum>
  <w:abstractNum w:abstractNumId="1">
    <w:nsid w:val="43388A3B"/>
    <w:multiLevelType w:val="singleLevel"/>
    <w:tmpl w:val="43388A3B"/>
    <w:lvl w:ilvl="0" w:tentative="0">
      <w:start w:val="4"/>
      <w:numFmt w:val="chineseCounting"/>
      <w:suff w:val="nothing"/>
      <w:lvlText w:val="%1、"/>
      <w:lvlJc w:val="left"/>
      <w:rPr>
        <w:rFonts w:hint="eastAsia"/>
      </w:rPr>
    </w:lvl>
  </w:abstractNum>
  <w:abstractNum w:abstractNumId="2">
    <w:nsid w:val="60C26085"/>
    <w:multiLevelType w:val="singleLevel"/>
    <w:tmpl w:val="60C26085"/>
    <w:lvl w:ilvl="0" w:tentative="0">
      <w:start w:val="2"/>
      <w:numFmt w:val="chineseCounting"/>
      <w:suff w:val="nothing"/>
      <w:lvlText w:val="（%1）"/>
      <w:lvlJc w:val="left"/>
      <w:rPr>
        <w:rFonts w:hint="eastAsia"/>
      </w:rPr>
    </w:lvl>
  </w:abstractNum>
  <w:abstractNum w:abstractNumId="3">
    <w:nsid w:val="64CF58F0"/>
    <w:multiLevelType w:val="singleLevel"/>
    <w:tmpl w:val="64CF58F0"/>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xY2Q3M2M1ZDYzNjgxYTU5M2JlZmQ3NDk4ZWU5Y2EifQ=="/>
  </w:docVars>
  <w:rsids>
    <w:rsidRoot w:val="00000000"/>
    <w:rsid w:val="044F29A3"/>
    <w:rsid w:val="0A226664"/>
    <w:rsid w:val="170A7CB2"/>
    <w:rsid w:val="1A055A28"/>
    <w:rsid w:val="21780E44"/>
    <w:rsid w:val="40B2169B"/>
    <w:rsid w:val="411B32C9"/>
    <w:rsid w:val="4B502367"/>
    <w:rsid w:val="59BE0683"/>
    <w:rsid w:val="67F43B64"/>
    <w:rsid w:val="6DBE2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实施方案正文"/>
    <w:basedOn w:val="6"/>
    <w:qFormat/>
    <w:uiPriority w:val="0"/>
    <w:pPr>
      <w:ind w:firstLine="566" w:firstLineChars="202"/>
    </w:pPr>
    <w:rPr>
      <w:szCs w:val="28"/>
    </w:rPr>
  </w:style>
  <w:style w:type="paragraph" w:customStyle="1" w:styleId="6">
    <w:name w:val="正文 New"/>
    <w:next w:val="5"/>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5064</Words>
  <Characters>5575</Characters>
  <Lines>0</Lines>
  <Paragraphs>0</Paragraphs>
  <TotalTime>4</TotalTime>
  <ScaleCrop>false</ScaleCrop>
  <LinksUpToDate>false</LinksUpToDate>
  <CharactersWithSpaces>5577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Lenovo</cp:lastModifiedBy>
  <dcterms:modified xsi:type="dcterms:W3CDTF">2023-04-08T12:58:52Z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602CA26FB4F24D9CAFAE221F32F0941B_13</vt:lpwstr>
  </property>
</Properties>
</file>