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社保局项目支出绩效报告（自评）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spacing w:line="660" w:lineRule="exact"/>
        <w:ind w:firstLine="594" w:firstLineChars="200"/>
        <w:rPr>
          <w:rFonts w:hint="eastAsia"/>
          <w:lang w:val="en-US" w:eastAsia="zh-CN"/>
        </w:rPr>
      </w:pPr>
      <w:r>
        <w:rPr>
          <w:rFonts w:hint="eastAsia" w:ascii="仿宋_GB2312"/>
          <w:szCs w:val="32"/>
        </w:rPr>
        <w:t>呈贡区社保局202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金额</w:t>
      </w:r>
      <w:r>
        <w:rPr>
          <w:rFonts w:hint="eastAsia" w:ascii="仿宋_GB2312"/>
          <w:szCs w:val="32"/>
        </w:rPr>
        <w:t>未达到200万元</w:t>
      </w:r>
      <w:r>
        <w:rPr>
          <w:rFonts w:hint="eastAsia" w:ascii="仿宋_GB2312"/>
          <w:szCs w:val="32"/>
          <w:lang w:val="en-US" w:eastAsia="zh-CN"/>
        </w:rPr>
        <w:t>的项目</w:t>
      </w:r>
      <w:r>
        <w:rPr>
          <w:rFonts w:hint="eastAsia" w:ascii="仿宋_GB2312"/>
          <w:szCs w:val="32"/>
        </w:rPr>
        <w:t>包括：</w:t>
      </w:r>
      <w:r>
        <w:rPr>
          <w:rFonts w:hint="eastAsia" w:ascii="仿宋_GB2312" w:hAnsi="仿宋_GB2312" w:cs="仿宋_GB2312"/>
          <w:szCs w:val="32"/>
        </w:rPr>
        <w:t>离退休人员活动专项经费</w:t>
      </w:r>
      <w:r>
        <w:rPr>
          <w:rFonts w:hint="eastAsia" w:ascii="仿宋_GB2312" w:hAnsi="仿宋_GB2312" w:cs="仿宋_GB2312"/>
          <w:szCs w:val="32"/>
          <w:lang w:val="en-US" w:eastAsia="zh-CN"/>
        </w:rPr>
        <w:t>0.015</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lang w:val="en-US" w:eastAsia="zh-CN"/>
        </w:rPr>
        <w:t>高新区（马金铺）片区社会事务经费（社会保障类）专项经费16.66</w:t>
      </w:r>
      <w:r>
        <w:rPr>
          <w:rFonts w:ascii="仿宋_GB2312" w:hAnsi="仿宋_GB2312" w:cs="仿宋_GB2312"/>
          <w:szCs w:val="32"/>
        </w:rPr>
        <w:t>万</w:t>
      </w:r>
      <w:r>
        <w:rPr>
          <w:rFonts w:hint="eastAsia" w:ascii="仿宋_GB2312" w:hAnsi="仿宋_GB2312" w:cs="仿宋_GB2312"/>
          <w:szCs w:val="32"/>
          <w:lang w:val="en-US" w:eastAsia="zh-CN"/>
        </w:rPr>
        <w:t>元；</w:t>
      </w:r>
      <w:r>
        <w:rPr>
          <w:rFonts w:hint="eastAsia" w:ascii="仿宋_GB2312" w:hAnsi="仿宋_GB2312" w:cs="仿宋_GB2312"/>
          <w:szCs w:val="32"/>
        </w:rPr>
        <w:t>度假区</w:t>
      </w:r>
      <w:r>
        <w:rPr>
          <w:rFonts w:hint="eastAsia" w:ascii="仿宋_GB2312" w:hAnsi="仿宋_GB2312" w:cs="仿宋_GB2312"/>
          <w:szCs w:val="32"/>
          <w:lang w:eastAsia="zh-CN"/>
        </w:rPr>
        <w:t>（</w:t>
      </w:r>
      <w:r>
        <w:rPr>
          <w:rFonts w:hint="eastAsia" w:ascii="仿宋_GB2312" w:hAnsi="仿宋_GB2312" w:cs="仿宋_GB2312"/>
          <w:szCs w:val="32"/>
          <w:lang w:val="en-US" w:eastAsia="zh-CN"/>
        </w:rPr>
        <w:t>大渔片区）社会事务经费（社会保障类）专项经费19.28</w:t>
      </w:r>
      <w:r>
        <w:rPr>
          <w:rFonts w:ascii="仿宋_GB2312" w:hAnsi="仿宋_GB2312" w:cs="仿宋_GB2312"/>
          <w:szCs w:val="32"/>
        </w:rPr>
        <w:t>万</w:t>
      </w:r>
      <w:r>
        <w:rPr>
          <w:rFonts w:hint="eastAsia" w:ascii="仿宋_GB2312" w:hAnsi="仿宋_GB2312" w:cs="仿宋_GB2312"/>
          <w:szCs w:val="32"/>
          <w:lang w:val="en-US" w:eastAsia="zh-CN"/>
        </w:rPr>
        <w:t>元；共计3个项目。</w:t>
      </w:r>
    </w:p>
    <w:p>
      <w:pPr>
        <w:topLinePunct/>
        <w:ind w:firstLine="594" w:firstLineChars="200"/>
        <w:rPr>
          <w:rFonts w:hint="eastAsia" w:ascii="仿宋_GB2312"/>
          <w:szCs w:val="32"/>
        </w:rPr>
      </w:pPr>
      <w:r>
        <w:rPr>
          <w:rFonts w:hint="eastAsia" w:ascii="仿宋_GB2312"/>
          <w:szCs w:val="32"/>
        </w:rPr>
        <w:t>（二）绩效目标设定及指标完成情况。</w:t>
      </w:r>
    </w:p>
    <w:p>
      <w:pPr>
        <w:ind w:firstLine="594" w:firstLineChars="200"/>
      </w:pPr>
      <w:r>
        <w:rPr>
          <w:rFonts w:hint="eastAsia" w:ascii="仿宋_GB2312"/>
        </w:rPr>
        <w:t>202</w:t>
      </w:r>
      <w:r>
        <w:rPr>
          <w:rFonts w:hint="eastAsia" w:ascii="仿宋_GB2312"/>
          <w:lang w:val="en-US" w:eastAsia="zh-CN"/>
        </w:rPr>
        <w:t>2</w:t>
      </w:r>
      <w:r>
        <w:rPr>
          <w:rFonts w:hint="eastAsia" w:ascii="仿宋_GB2312"/>
        </w:rPr>
        <w:t>年呈贡区社保局</w:t>
      </w:r>
      <w:r>
        <w:rPr>
          <w:rFonts w:hint="eastAsia" w:ascii="仿宋_GB2312"/>
          <w:lang w:val="en-US" w:eastAsia="zh-CN"/>
        </w:rPr>
        <w:t>离退休人员活动专项经费</w:t>
      </w:r>
      <w:r>
        <w:rPr>
          <w:rFonts w:hint="eastAsia" w:ascii="仿宋_GB2312"/>
        </w:rPr>
        <w:t>、</w:t>
      </w:r>
      <w:r>
        <w:rPr>
          <w:rFonts w:hint="eastAsia" w:ascii="仿宋_GB2312" w:hAnsi="仿宋_GB2312" w:cs="仿宋_GB2312"/>
          <w:szCs w:val="32"/>
          <w:lang w:val="en-US" w:eastAsia="zh-CN"/>
        </w:rPr>
        <w:t>高新区（马金铺）片区社会事务经费（社会保障类）专项经费</w:t>
      </w:r>
      <w:r>
        <w:rPr>
          <w:rFonts w:hint="eastAsia" w:ascii="仿宋_GB2312" w:hAnsi="仿宋_GB2312" w:cs="仿宋_GB2312"/>
          <w:szCs w:val="32"/>
          <w:lang w:eastAsia="zh-CN"/>
        </w:rPr>
        <w:t>、</w:t>
      </w:r>
      <w:r>
        <w:rPr>
          <w:rFonts w:hint="eastAsia" w:ascii="仿宋_GB2312" w:hAnsi="仿宋_GB2312" w:cs="仿宋_GB2312"/>
          <w:szCs w:val="32"/>
        </w:rPr>
        <w:t>度假区</w:t>
      </w:r>
      <w:r>
        <w:rPr>
          <w:rFonts w:hint="eastAsia" w:ascii="仿宋_GB2312" w:hAnsi="仿宋_GB2312" w:cs="仿宋_GB2312"/>
          <w:szCs w:val="32"/>
          <w:lang w:eastAsia="zh-CN"/>
        </w:rPr>
        <w:t>（</w:t>
      </w:r>
      <w:r>
        <w:rPr>
          <w:rFonts w:hint="eastAsia" w:ascii="仿宋_GB2312" w:hAnsi="仿宋_GB2312" w:cs="仿宋_GB2312"/>
          <w:szCs w:val="32"/>
          <w:lang w:val="en-US" w:eastAsia="zh-CN"/>
        </w:rPr>
        <w:t>大渔片区）社会事务经费（社会保障类）专项经费</w:t>
      </w:r>
      <w:r>
        <w:rPr>
          <w:rFonts w:hint="eastAsia" w:ascii="仿宋_GB2312"/>
          <w:lang w:val="en-US" w:eastAsia="zh-CN"/>
        </w:rPr>
        <w:t>3</w:t>
      </w:r>
      <w:r>
        <w:rPr>
          <w:rFonts w:hint="eastAsia" w:ascii="仿宋_GB2312"/>
        </w:rPr>
        <w:t>个项目共</w:t>
      </w:r>
      <w:r>
        <w:rPr>
          <w:rFonts w:hint="eastAsia" w:ascii="仿宋_GB2312"/>
          <w:lang w:val="en-US" w:eastAsia="zh-CN"/>
        </w:rPr>
        <w:t>35.955</w:t>
      </w:r>
      <w:r>
        <w:rPr>
          <w:rFonts w:hint="eastAsia" w:ascii="仿宋_GB2312"/>
        </w:rPr>
        <w:t>万元</w:t>
      </w:r>
      <w:r>
        <w:rPr>
          <w:rFonts w:hint="eastAsia" w:ascii="仿宋_GB2312"/>
          <w:lang w:val="en-US" w:eastAsia="zh-CN"/>
        </w:rPr>
        <w:t>已</w:t>
      </w:r>
      <w:r>
        <w:rPr>
          <w:rFonts w:hint="eastAsia" w:ascii="仿宋_GB2312"/>
        </w:rPr>
        <w:t>全部列支完毕。</w:t>
      </w:r>
    </w:p>
    <w:p>
      <w:pPr>
        <w:topLinePunct/>
        <w:ind w:firstLine="594" w:firstLineChars="200"/>
        <w:rPr>
          <w:rFonts w:hint="eastAsia" w:ascii="黑体" w:eastAsia="黑体"/>
          <w:szCs w:val="32"/>
          <w:lang w:eastAsia="zh-CN"/>
        </w:rPr>
      </w:pPr>
      <w:r>
        <w:rPr>
          <w:rFonts w:hint="eastAsia" w:ascii="黑体" w:eastAsia="黑体"/>
          <w:szCs w:val="32"/>
        </w:rPr>
        <w:t>二、项目资金使用及管理情况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rPr>
      </w:pPr>
      <w:r>
        <w:rPr>
          <w:rFonts w:hint="eastAsia" w:ascii="仿宋_GB2312"/>
        </w:rPr>
        <w:t>呈贡区社保局项目资金均属于公共财政预算资金。</w:t>
      </w:r>
      <w:r>
        <w:rPr>
          <w:rFonts w:hint="eastAsia" w:ascii="仿宋_GB2312" w:hAnsi="仿宋_GB2312" w:cs="仿宋_GB2312"/>
          <w:szCs w:val="32"/>
        </w:rPr>
        <w:t>离退休人员活动专项经费</w:t>
      </w:r>
      <w:r>
        <w:rPr>
          <w:rFonts w:hint="eastAsia" w:ascii="仿宋_GB2312"/>
        </w:rPr>
        <w:t>，积极和区老干局联系沟通，由区老干局提出方案，社保局保障经费，对全区符合条件的离退休人员开展文体活动，丰富了离退休人员的退休生活。</w:t>
      </w:r>
      <w:r>
        <w:rPr>
          <w:rFonts w:hint="eastAsia" w:ascii="仿宋_GB2312" w:hAnsi="仿宋_GB2312" w:cs="仿宋_GB2312"/>
          <w:szCs w:val="32"/>
          <w:lang w:val="en-US" w:eastAsia="zh-CN"/>
        </w:rPr>
        <w:t>高新区（马金铺）片区社会事务经费（社会保障类）专项经费和</w:t>
      </w:r>
      <w:r>
        <w:rPr>
          <w:rFonts w:hint="eastAsia" w:ascii="仿宋_GB2312" w:hAnsi="仿宋_GB2312" w:cs="仿宋_GB2312"/>
          <w:szCs w:val="32"/>
        </w:rPr>
        <w:t>度假区</w:t>
      </w:r>
      <w:r>
        <w:rPr>
          <w:rFonts w:hint="eastAsia" w:ascii="仿宋_GB2312" w:hAnsi="仿宋_GB2312" w:cs="仿宋_GB2312"/>
          <w:szCs w:val="32"/>
          <w:lang w:eastAsia="zh-CN"/>
        </w:rPr>
        <w:t>（</w:t>
      </w:r>
      <w:r>
        <w:rPr>
          <w:rFonts w:hint="eastAsia" w:ascii="仿宋_GB2312" w:hAnsi="仿宋_GB2312" w:cs="仿宋_GB2312"/>
          <w:szCs w:val="32"/>
          <w:lang w:val="en-US" w:eastAsia="zh-CN"/>
        </w:rPr>
        <w:t>大渔片区）社会事务经费（社会保障类）专项经费，</w:t>
      </w:r>
      <w:bookmarkStart w:id="0" w:name="_GoBack"/>
      <w:bookmarkEnd w:id="0"/>
      <w:r>
        <w:rPr>
          <w:rFonts w:hint="eastAsia" w:ascii="仿宋_GB2312" w:hAnsi="仿宋_GB2312" w:cs="仿宋_GB2312"/>
          <w:szCs w:val="32"/>
          <w:lang w:val="en-US" w:eastAsia="zh-CN"/>
        </w:rPr>
        <w:t>根据划转协议确保相应人员经费。</w:t>
      </w:r>
      <w:r>
        <w:rPr>
          <w:rFonts w:hint="eastAsia" w:ascii="仿宋_GB2312"/>
        </w:rPr>
        <w:t>呈贡区社保局各项目均按照区财政相关审批要求和部门内控制度、财务制度进行开支管理，并根据各项目的不同牵头科室，分析细化了各项目的绩效目标方案。</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ind w:firstLine="594" w:firstLineChars="200"/>
      </w:pPr>
      <w:r>
        <w:rPr>
          <w:rFonts w:hint="eastAsia" w:ascii="仿宋_GB2312"/>
        </w:rPr>
        <w:t>20</w:t>
      </w:r>
      <w:r>
        <w:rPr>
          <w:rFonts w:hint="eastAsia" w:ascii="仿宋_GB2312"/>
          <w:lang w:val="en-US" w:eastAsia="zh-CN"/>
        </w:rPr>
        <w:t>22</w:t>
      </w:r>
      <w:r>
        <w:rPr>
          <w:rFonts w:hint="eastAsia" w:ascii="仿宋_GB2312"/>
        </w:rPr>
        <w:t>年呈贡区社保局各项目在绩效领导小组的领导下，由企业统筹科牵头，具体分析制定项目绩效目标。按照科室针对性的明确各项目的绩效目标，并在现有的内控制度及财务制度下进行审批、开支。并定期跟进项目具体情况，制定项目的开展方向。</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rPr>
          <w:rFonts w:hint="eastAsia" w:ascii="仿宋_GB2312"/>
        </w:rPr>
      </w:pPr>
      <w:r>
        <w:rPr>
          <w:rFonts w:hint="eastAsia" w:ascii="仿宋_GB2312"/>
        </w:rPr>
        <w:t>呈贡区社保局各项目的经济性：严格按照年初预算金额开展支出，控制项目成本。效率性：根据省市相关要求，开展信息化生存验证功能，极大的方便了群众。可持续性：各项目为保障社保局各社会保险业务工作开展、征缴核定、待遇核定等经办业务提供保障及支持，是一项长期、持续的工作。</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rPr>
      </w:pPr>
      <w:r>
        <w:rPr>
          <w:rFonts w:hint="eastAsia" w:ascii="仿宋_GB2312"/>
        </w:rPr>
        <w:t>呈贡区将在现有的制度下，继续针对性的对各个项目逐步制定资金管理办法。以确保开支各项目资金有依有据。</w:t>
      </w:r>
    </w:p>
    <w:p>
      <w:pPr>
        <w:topLinePunct/>
        <w:ind w:firstLine="594" w:firstLineChars="200"/>
        <w:rPr>
          <w:rFonts w:hint="eastAsia" w:ascii="仿宋_GB2312"/>
          <w:szCs w:val="32"/>
        </w:rPr>
      </w:pPr>
      <w:r>
        <w:rPr>
          <w:rFonts w:hint="eastAsia" w:ascii="仿宋_GB2312"/>
          <w:szCs w:val="32"/>
        </w:rPr>
        <w:t>（二）资金分配方面的问题。资金分配是否合理，突出重点，公平公正；有无散小差现象；资金分配和使用方向是否与资金管理办法相符等。</w:t>
      </w:r>
    </w:p>
    <w:p>
      <w:pPr>
        <w:topLinePunct/>
        <w:ind w:firstLine="594" w:firstLineChars="200"/>
        <w:rPr>
          <w:rFonts w:ascii="仿宋_GB2312"/>
        </w:rPr>
      </w:pPr>
      <w:r>
        <w:rPr>
          <w:rFonts w:hint="eastAsia" w:ascii="仿宋_GB2312"/>
        </w:rPr>
        <w:t>呈贡区社保局各项目资金分配合理，公平公正；无散小差现象；资金分配和使用方向与资金管理办法相符。</w:t>
      </w:r>
    </w:p>
    <w:p>
      <w:pPr>
        <w:topLinePunct/>
        <w:ind w:firstLine="594" w:firstLineChars="200"/>
        <w:rPr>
          <w:rFonts w:hint="eastAsia" w:ascii="仿宋_GB2312"/>
          <w:szCs w:val="32"/>
        </w:rPr>
      </w:pPr>
      <w:r>
        <w:rPr>
          <w:rFonts w:hint="eastAsia" w:ascii="仿宋_GB2312"/>
          <w:szCs w:val="32"/>
        </w:rPr>
        <w:t>（三）资金拨付方面的问题。拨付是否及时，有无滞留、闲置等现象。</w:t>
      </w:r>
    </w:p>
    <w:p>
      <w:pPr>
        <w:ind w:firstLine="594" w:firstLineChars="200"/>
      </w:pPr>
      <w:r>
        <w:rPr>
          <w:rFonts w:hint="eastAsia" w:ascii="仿宋_GB2312"/>
        </w:rPr>
        <w:t>呈贡区社保局根据政策和经办业务要求，及时向财政申请拨付经费，在收到经费后拨付及时，无滞留、闲置等现象。</w:t>
      </w:r>
    </w:p>
    <w:p>
      <w:pPr>
        <w:topLinePunct/>
        <w:ind w:firstLine="594" w:firstLineChars="200"/>
        <w:rPr>
          <w:rFonts w:hint="eastAsia" w:ascii="仿宋_GB2312"/>
          <w:szCs w:val="32"/>
        </w:rPr>
      </w:pPr>
      <w:r>
        <w:rPr>
          <w:rFonts w:hint="eastAsia" w:ascii="仿宋_GB2312"/>
          <w:szCs w:val="32"/>
        </w:rPr>
        <w:t>（四）资金使用方面的问题。资金使用是否合规，有无截留、挪用等现象，资金使用是否产生效益等。</w:t>
      </w:r>
    </w:p>
    <w:p>
      <w:pPr>
        <w:topLinePunct/>
        <w:ind w:firstLine="594" w:firstLineChars="200"/>
        <w:rPr>
          <w:rFonts w:ascii="仿宋_GB2312"/>
        </w:rPr>
      </w:pPr>
      <w:r>
        <w:rPr>
          <w:rFonts w:hint="eastAsia" w:ascii="仿宋_GB2312"/>
        </w:rPr>
        <w:t>呈贡区社保局资金使用合规，无截留、挪用等现象，资金使用产生一定的社会效益等。</w:t>
      </w:r>
    </w:p>
    <w:p>
      <w:pPr>
        <w:topLinePunct/>
        <w:ind w:firstLine="594" w:firstLineChars="200"/>
        <w:rPr>
          <w:rFonts w:hint="default" w:ascii="仿宋_GB2312" w:eastAsia="仿宋_GB2312"/>
          <w:szCs w:val="32"/>
          <w:lang w:val="en-US" w:eastAsia="zh-CN"/>
        </w:rPr>
      </w:pPr>
      <w:r>
        <w:rPr>
          <w:rFonts w:hint="eastAsia" w:ascii="黑体" w:eastAsia="黑体"/>
          <w:szCs w:val="32"/>
        </w:rPr>
        <w:t>六、其他需要说明的问题</w:t>
      </w:r>
    </w:p>
    <w:p>
      <w:pPr>
        <w:spacing w:line="560" w:lineRule="exact"/>
        <w:ind w:firstLine="594"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年，我局干部职工凝心聚力，做到工作早计划，早安排，立足现在，谋划长远，以饱满的工作热情，积极进取的工作态度，扎实推进社保各项工作，使社保工作再上一个新的台阶。</w:t>
      </w:r>
    </w:p>
    <w:p>
      <w:pPr>
        <w:spacing w:line="560" w:lineRule="exact"/>
        <w:ind w:firstLine="594" w:firstLineChars="200"/>
        <w:rPr>
          <w:rFonts w:hint="eastAsia" w:ascii="仿宋" w:hAnsi="仿宋" w:eastAsia="仿宋"/>
          <w:b w:val="0"/>
          <w:bCs/>
          <w:sz w:val="32"/>
          <w:szCs w:val="32"/>
        </w:rPr>
      </w:pPr>
      <w:r>
        <w:rPr>
          <w:rFonts w:hint="eastAsia" w:ascii="仿宋" w:hAnsi="仿宋" w:eastAsia="仿宋"/>
          <w:b w:val="0"/>
          <w:bCs/>
          <w:sz w:val="32"/>
          <w:szCs w:val="32"/>
        </w:rPr>
        <w:t>1、做好社会保险政策宣传和工伤预防宣传工作。</w:t>
      </w:r>
    </w:p>
    <w:p>
      <w:pPr>
        <w:spacing w:line="560" w:lineRule="exact"/>
        <w:ind w:firstLine="624" w:firstLineChars="210"/>
        <w:rPr>
          <w:rFonts w:hint="eastAsia" w:ascii="仿宋" w:hAnsi="仿宋" w:eastAsia="仿宋"/>
          <w:b/>
          <w:sz w:val="32"/>
          <w:szCs w:val="32"/>
        </w:rPr>
      </w:pPr>
      <w:r>
        <w:rPr>
          <w:rFonts w:hint="eastAsia" w:ascii="仿宋" w:hAnsi="仿宋" w:eastAsia="仿宋"/>
          <w:sz w:val="32"/>
          <w:szCs w:val="32"/>
        </w:rPr>
        <w:t>一是联合安监、住建和劳动监察部门深入企业和建筑施工工地开展面对面宣传，并发放各类宣传资料。</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二是印制各类宣传资料发放给各用人单位，同时，利用赶集日到呈贡文化广场摆放展板和发放资料进行宣传。</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三是充分利用呈贡电视台进行工伤保险政策宣传，扩大工伤保险覆盖面。</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四是及时配合劳动合同鉴证部门和建筑施工企业做好参保人员的工伤待遇支付工作。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b w:val="0"/>
          <w:bCs/>
          <w:sz w:val="32"/>
          <w:szCs w:val="32"/>
        </w:rPr>
        <w:t>2、做好养老、工伤保险的参保工作和社会保险基金的征缴管理，确保社会保险基金安全运行。</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一是加大社会保险政策宣传力度，让广大用工单位熟悉社会保险政策，积极为职工购买社会保险。</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二是加强社会保险业务经办人员的政策学习，做好社会保险业务经办的硬件设施建设，提高社保业务经办服务水平，为参保人提供优质的经办服务。</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三是做好参保人的各项权益维护和待遇支付工作。</w:t>
      </w:r>
    </w:p>
    <w:p>
      <w:pPr>
        <w:spacing w:line="560" w:lineRule="exact"/>
        <w:ind w:firstLine="624" w:firstLineChars="210"/>
        <w:rPr>
          <w:rFonts w:hint="eastAsia" w:ascii="仿宋" w:hAnsi="仿宋" w:eastAsia="仿宋"/>
          <w:sz w:val="32"/>
          <w:szCs w:val="32"/>
        </w:rPr>
      </w:pPr>
      <w:r>
        <w:rPr>
          <w:rFonts w:hint="eastAsia" w:ascii="仿宋" w:hAnsi="仿宋" w:eastAsia="仿宋"/>
          <w:sz w:val="32"/>
          <w:szCs w:val="32"/>
        </w:rPr>
        <w:t>四是加强与财政、地税部门的协作，共同做好社会保险基金的征缴管理工作，确保社会保险基金安全运行。</w:t>
      </w:r>
    </w:p>
    <w:p>
      <w:pPr>
        <w:spacing w:line="560" w:lineRule="exact"/>
        <w:ind w:firstLine="624" w:firstLineChars="210"/>
      </w:pPr>
      <w:r>
        <w:rPr>
          <w:rFonts w:hint="eastAsia" w:ascii="仿宋" w:hAnsi="仿宋" w:eastAsia="仿宋"/>
          <w:b w:val="0"/>
          <w:bCs/>
          <w:sz w:val="32"/>
          <w:szCs w:val="32"/>
        </w:rPr>
        <w:t>3、加强业务经办信息化建设，转变业务经办模式，业务经办由传统的窗口“面对面”办理转到“不见面”的网上提交受理。积极向参保人宣传推广使用云南“一部手机办事通”APP和云南人社网上服务大厅等线上业务经办平台，让“数据多跑腿、群众少跑路”，提升社保业务网厅经办数量和质量，促使业务经办由窗口办理向线上经办转变。</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0A"/>
    <w:rsid w:val="00267C86"/>
    <w:rsid w:val="0050719A"/>
    <w:rsid w:val="00933F0A"/>
    <w:rsid w:val="00BE4080"/>
    <w:rsid w:val="00D72D83"/>
    <w:rsid w:val="05AE36CA"/>
    <w:rsid w:val="0C5B2736"/>
    <w:rsid w:val="26F55B59"/>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overflowPunct w:val="0"/>
      <w:spacing w:line="560" w:lineRule="exact"/>
      <w:ind w:firstLine="641"/>
      <w:outlineLvl w:val="1"/>
    </w:pPr>
    <w:rPr>
      <w:rFonts w:ascii="Cambria" w:hAnsi="Cambria" w:eastAsia="楷体_GB2312" w:cs="Times New Roman"/>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Words>
  <Characters>1919</Characters>
  <Lines>15</Lines>
  <Paragraphs>4</Paragraphs>
  <TotalTime>3</TotalTime>
  <ScaleCrop>false</ScaleCrop>
  <LinksUpToDate>false</LinksUpToDate>
  <CharactersWithSpaces>2251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2023-04-06T06:15:25Z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0235BF69E1654F398B958CB6ACAC0AAE</vt:lpwstr>
  </property>
</Properties>
</file>