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36"/>
          <w:szCs w:val="36"/>
        </w:rPr>
      </w:pPr>
      <w:r>
        <w:rPr>
          <w:rFonts w:hint="eastAsia" w:ascii="方正小标宋_GBK" w:eastAsia="方正小标宋_GBK"/>
          <w:sz w:val="36"/>
          <w:szCs w:val="36"/>
        </w:rPr>
        <w:t>项目支出绩效报告</w:t>
      </w:r>
      <w:r>
        <w:rPr>
          <w:rFonts w:hint="eastAsia" w:ascii="方正小标宋_GBK" w:eastAsia="方正小标宋_GBK"/>
          <w:sz w:val="36"/>
          <w:szCs w:val="36"/>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hint="eastAsia" w:ascii="仿宋_GB2312"/>
          <w:szCs w:val="32"/>
        </w:rPr>
      </w:pPr>
      <w:r>
        <w:rPr>
          <w:rFonts w:hint="eastAsia" w:ascii="仿宋_GB2312"/>
          <w:szCs w:val="32"/>
        </w:rPr>
        <w:t>（一）项目基本情况简介，包括项目基本性质、用途和主要内容、涉及范围等。</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default" w:ascii="仿宋_GB2312"/>
          <w:szCs w:val="32"/>
          <w:lang w:val="en-US"/>
        </w:rPr>
      </w:pPr>
      <w:r>
        <w:rPr>
          <w:rFonts w:hint="eastAsia" w:ascii="仿宋_GB2312" w:hAnsi="仿宋_GB2312" w:cs="仿宋_GB2312"/>
          <w:szCs w:val="32"/>
          <w:lang w:val="en-US" w:eastAsia="zh-CN"/>
        </w:rPr>
        <w:t>企业退休人员独子费专项资金</w:t>
      </w:r>
      <w:r>
        <w:rPr>
          <w:rFonts w:hint="eastAsia" w:ascii="仿宋_GB2312" w:hAnsi="仿宋_GB2312" w:eastAsia="仿宋_GB2312" w:cs="仿宋_GB2312"/>
          <w:szCs w:val="32"/>
          <w:lang w:val="en-US" w:eastAsia="zh-CN"/>
        </w:rPr>
        <w:t>202</w:t>
      </w:r>
      <w:r>
        <w:rPr>
          <w:rFonts w:hint="eastAsia" w:ascii="仿宋_GB2312" w:hAnsi="仿宋_GB2312" w:cs="仿宋_GB2312"/>
          <w:szCs w:val="32"/>
          <w:lang w:val="en-US" w:eastAsia="zh-CN"/>
        </w:rPr>
        <w:t>2</w:t>
      </w:r>
      <w:r>
        <w:rPr>
          <w:rFonts w:hint="eastAsia" w:ascii="仿宋_GB2312" w:hAnsi="仿宋_GB2312" w:eastAsia="仿宋_GB2312" w:cs="仿宋_GB2312"/>
          <w:szCs w:val="32"/>
          <w:lang w:val="en-US" w:eastAsia="zh-CN"/>
        </w:rPr>
        <w:t>年年初预算金额为</w:t>
      </w:r>
      <w:r>
        <w:rPr>
          <w:rFonts w:hint="eastAsia" w:ascii="仿宋_GB2312" w:hAnsi="仿宋_GB2312" w:cs="仿宋_GB2312"/>
          <w:szCs w:val="32"/>
          <w:lang w:val="en-US" w:eastAsia="zh-CN"/>
        </w:rPr>
        <w:t>214</w:t>
      </w:r>
      <w:r>
        <w:rPr>
          <w:rFonts w:hint="eastAsia" w:ascii="仿宋_GB2312" w:hAnsi="仿宋_GB2312" w:eastAsia="仿宋_GB2312" w:cs="仿宋_GB2312"/>
          <w:szCs w:val="32"/>
          <w:lang w:val="en-US" w:eastAsia="zh-CN"/>
        </w:rPr>
        <w:t>万元，决算数为</w:t>
      </w:r>
      <w:r>
        <w:rPr>
          <w:rFonts w:hint="eastAsia" w:ascii="仿宋_GB2312" w:hAnsi="仿宋_GB2312" w:cs="仿宋_GB2312"/>
          <w:szCs w:val="32"/>
          <w:lang w:val="en-US" w:eastAsia="zh-CN"/>
        </w:rPr>
        <w:t>200.13</w:t>
      </w:r>
      <w:r>
        <w:rPr>
          <w:rFonts w:hint="eastAsia" w:ascii="仿宋_GB2312" w:hAnsi="仿宋_GB2312" w:eastAsia="仿宋_GB2312" w:cs="仿宋_GB2312"/>
          <w:szCs w:val="32"/>
          <w:lang w:val="en-US" w:eastAsia="zh-CN"/>
        </w:rPr>
        <w:t>万元。</w:t>
      </w:r>
      <w:r>
        <w:rPr>
          <w:rFonts w:hint="eastAsia" w:ascii="仿宋_GB2312" w:hAnsi="仿宋_GB2312" w:cs="仿宋_GB2312"/>
          <w:szCs w:val="32"/>
          <w:lang w:val="en-US" w:eastAsia="zh-CN"/>
        </w:rPr>
        <w:t>根据上级相关政策，符合企业退休人员独生子女费领取资格的人员，按月足额发放对应待遇。</w:t>
      </w:r>
      <w:bookmarkStart w:id="0" w:name="_GoBack"/>
      <w:bookmarkEnd w:id="0"/>
    </w:p>
    <w:p>
      <w:pPr>
        <w:numPr>
          <w:ilvl w:val="0"/>
          <w:numId w:val="1"/>
        </w:numPr>
        <w:topLinePunct/>
        <w:ind w:left="594" w:leftChars="200" w:firstLine="0" w:firstLineChars="0"/>
        <w:rPr>
          <w:rFonts w:hint="eastAsia" w:ascii="仿宋_GB2312"/>
          <w:szCs w:val="32"/>
        </w:rPr>
      </w:pPr>
      <w:r>
        <w:rPr>
          <w:rFonts w:hint="eastAsia" w:ascii="仿宋_GB2312"/>
          <w:szCs w:val="32"/>
        </w:rPr>
        <w:t>绩效目标设定及指标完成情况。</w:t>
      </w:r>
    </w:p>
    <w:p>
      <w:pPr>
        <w:topLinePunct/>
        <w:ind w:firstLine="594" w:firstLineChars="200"/>
        <w:rPr>
          <w:rFonts w:hint="eastAsia" w:ascii="仿宋_GB2312"/>
          <w:szCs w:val="32"/>
          <w:lang w:val="en-US" w:eastAsia="zh-CN"/>
        </w:rPr>
      </w:pPr>
      <w:r>
        <w:rPr>
          <w:rFonts w:hint="eastAsia" w:ascii="仿宋_GB2312"/>
          <w:szCs w:val="32"/>
          <w:lang w:val="en-US" w:eastAsia="zh-CN"/>
        </w:rPr>
        <w:t>2022年度区社保局共发放</w:t>
      </w:r>
      <w:r>
        <w:rPr>
          <w:rFonts w:hint="eastAsia" w:ascii="仿宋_GB2312" w:hAnsi="仿宋_GB2312" w:cs="仿宋_GB2312"/>
          <w:szCs w:val="32"/>
          <w:lang w:val="en-US" w:eastAsia="zh-CN"/>
        </w:rPr>
        <w:t>企业退休人员独子费专项资金200.13</w:t>
      </w:r>
      <w:r>
        <w:rPr>
          <w:rFonts w:hint="eastAsia" w:ascii="仿宋_GB2312" w:hAnsi="仿宋_GB2312" w:eastAsia="仿宋_GB2312" w:cs="仿宋_GB2312"/>
          <w:szCs w:val="32"/>
          <w:lang w:val="en-US" w:eastAsia="zh-CN"/>
        </w:rPr>
        <w:t>万元。</w:t>
      </w:r>
      <w:r>
        <w:rPr>
          <w:rFonts w:hint="eastAsia" w:ascii="仿宋_GB2312" w:hAnsi="仿宋_GB2312" w:cs="仿宋_GB2312"/>
          <w:szCs w:val="32"/>
          <w:lang w:val="en-US" w:eastAsia="zh-CN"/>
        </w:rPr>
        <w:t>依据上级</w:t>
      </w:r>
      <w:r>
        <w:rPr>
          <w:rFonts w:hint="eastAsia" w:ascii="仿宋_GB2312"/>
          <w:szCs w:val="32"/>
          <w:lang w:val="en-US" w:eastAsia="zh-CN"/>
        </w:rPr>
        <w:t>相关政策，对于符合领取待遇的人员，按月足额发放企业退休人员独子费，维护了相关人员切身利益。</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eastAsia="仿宋_GB2312" w:cs="仿宋_GB2312"/>
          <w:szCs w:val="32"/>
        </w:rPr>
        <w:t>项目资金（包括公共财政预算资金、政府性基金、财政专户资金、自筹资金等）安排落实、总投入等情况分析</w:t>
      </w:r>
      <w:r>
        <w:rPr>
          <w:rFonts w:hint="eastAsia" w:ascii="仿宋_GB2312" w:hAnsi="仿宋_GB2312" w:cs="仿宋_GB2312"/>
          <w:szCs w:val="32"/>
          <w:lang w:eastAsia="zh-CN"/>
        </w:rPr>
        <w:t>。</w:t>
      </w:r>
      <w:r>
        <w:rPr>
          <w:rFonts w:hint="eastAsia" w:ascii="仿宋_GB2312" w:hAnsi="仿宋_GB2312" w:eastAsia="仿宋_GB2312" w:cs="仿宋_GB2312"/>
          <w:szCs w:val="32"/>
        </w:rPr>
        <w:t>项目资金（主要是指财政</w:t>
      </w:r>
      <w:r>
        <w:rPr>
          <w:rFonts w:hint="eastAsia" w:ascii="仿宋_GB2312" w:hAnsi="仿宋_GB2312" w:cs="仿宋_GB2312"/>
          <w:szCs w:val="32"/>
          <w:lang w:eastAsia="zh-CN"/>
        </w:rPr>
        <w:t>拨款</w:t>
      </w:r>
      <w:r>
        <w:rPr>
          <w:rFonts w:hint="eastAsia" w:ascii="仿宋_GB2312" w:hAnsi="仿宋_GB2312" w:eastAsia="仿宋_GB2312" w:cs="仿宋_GB2312"/>
          <w:szCs w:val="32"/>
        </w:rPr>
        <w:t>）实际使用情况分析。</w:t>
      </w:r>
      <w:r>
        <w:rPr>
          <w:rFonts w:hint="eastAsia" w:ascii="仿宋_GB2312" w:hAnsi="仿宋_GB2312" w:cs="仿宋_GB2312"/>
          <w:szCs w:val="32"/>
          <w:lang w:eastAsia="zh-CN"/>
        </w:rPr>
        <w:t>项目资金管理情况（包括管理制度、办法的制订及执行情况）分析。</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cs="仿宋_GB2312"/>
          <w:color w:val="0000FF"/>
          <w:szCs w:val="32"/>
          <w:lang w:eastAsia="zh-CN"/>
        </w:rPr>
      </w:pPr>
      <w:r>
        <w:rPr>
          <w:rFonts w:hint="eastAsia" w:ascii="仿宋_GB2312"/>
          <w:szCs w:val="32"/>
          <w:lang w:val="en-US" w:eastAsia="zh-CN"/>
        </w:rPr>
        <w:t>2022年度区社保局</w:t>
      </w:r>
      <w:r>
        <w:rPr>
          <w:rFonts w:hint="eastAsia" w:ascii="仿宋_GB2312" w:hAnsi="仿宋_GB2312" w:cs="仿宋_GB2312"/>
          <w:szCs w:val="32"/>
          <w:lang w:val="en-US" w:eastAsia="zh-CN"/>
        </w:rPr>
        <w:t>企业退休人员独子费专项</w:t>
      </w:r>
      <w:r>
        <w:rPr>
          <w:rFonts w:hint="eastAsia" w:ascii="仿宋_GB2312"/>
        </w:rPr>
        <w:t>资金到位及时，</w:t>
      </w:r>
      <w:r>
        <w:rPr>
          <w:rFonts w:hint="eastAsia" w:ascii="仿宋_GB2312"/>
          <w:color w:val="auto"/>
        </w:rPr>
        <w:t>资金</w:t>
      </w:r>
      <w:r>
        <w:rPr>
          <w:rFonts w:hint="eastAsia" w:ascii="仿宋_GB2312"/>
          <w:color w:val="auto"/>
          <w:lang w:val="en-US" w:eastAsia="zh-CN"/>
        </w:rPr>
        <w:t>拨付</w:t>
      </w:r>
      <w:r>
        <w:rPr>
          <w:rFonts w:hint="eastAsia" w:ascii="仿宋_GB2312"/>
          <w:color w:val="auto"/>
        </w:rPr>
        <w:t>均按照相关</w:t>
      </w:r>
      <w:r>
        <w:rPr>
          <w:rFonts w:hint="eastAsia" w:ascii="仿宋_GB2312"/>
          <w:color w:val="auto"/>
          <w:lang w:val="en-US" w:eastAsia="zh-CN"/>
        </w:rPr>
        <w:t>文件</w:t>
      </w:r>
      <w:r>
        <w:rPr>
          <w:rFonts w:hint="eastAsia" w:ascii="仿宋_GB2312"/>
          <w:color w:val="auto"/>
        </w:rPr>
        <w:t>要求严格列支。企业离退休独生子女费项目的经济性:依据上年支出情况，合理编制当年预算，并根据每年增资调待相关政策预估资金缺口，向财政及时申请追加资金，已保障待遇按时足额发放。效率性：对于符合待遇领取人员，严格审核，保障待遇的及时、准确。有效性：企业离退休独子费是落实国家计生政策的重要组成部分，对符合领取待遇人员有一定的保障作用。可持续性：独子费项目是一项政策性很强的长期性的工作，对此将严格落实相关政策要求，确保领取待遇群体的权益的到保障。</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eastAsia="仿宋_GB2312" w:cs="仿宋_GB2312"/>
          <w:szCs w:val="32"/>
        </w:rPr>
      </w:pPr>
      <w:r>
        <w:rPr>
          <w:rFonts w:hint="eastAsia" w:ascii="仿宋_GB2312" w:hAnsi="仿宋_GB2312" w:cs="仿宋_GB2312"/>
          <w:szCs w:val="32"/>
        </w:rPr>
        <w:t>项目组织情况分析，主要包括项目前期准备、招投标、调整、竣工验收等情况。项目管理情况分析，主要包括项目管理制度、办法的制订、日常检查监督管理等情况。</w:t>
      </w:r>
      <w:r>
        <w:rPr>
          <w:rFonts w:hint="eastAsia" w:ascii="仿宋_GB2312"/>
          <w:szCs w:val="32"/>
          <w:lang w:val="en-US" w:eastAsia="zh-CN"/>
        </w:rPr>
        <w:t>2022年度</w:t>
      </w:r>
      <w:r>
        <w:rPr>
          <w:rFonts w:hint="eastAsia" w:ascii="仿宋_GB2312" w:hAnsi="仿宋_GB2312" w:cs="仿宋_GB2312"/>
          <w:szCs w:val="32"/>
          <w:lang w:val="en-US" w:eastAsia="zh-CN"/>
        </w:rPr>
        <w:t>企业退休人员独子费专项资金</w:t>
      </w:r>
      <w:r>
        <w:rPr>
          <w:rFonts w:hint="eastAsia" w:ascii="仿宋_GB2312" w:hAnsi="仿宋_GB2312" w:cs="仿宋_GB2312"/>
          <w:szCs w:val="32"/>
        </w:rPr>
        <w:t>项目，均在绩效领导小组的指导下，按照科室针对性的明确项目的绩效目标，并在现有的内控制度及财务制度下进行审批、开支。并定期跟进项目具体情况，制定项目的开展方向。</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topLinePunct/>
        <w:ind w:firstLine="594" w:firstLineChars="200"/>
        <w:jc w:val="both"/>
        <w:rPr>
          <w:rFonts w:hint="eastAsia" w:ascii="仿宋_GB2312"/>
          <w:szCs w:val="32"/>
        </w:rPr>
      </w:pPr>
      <w:r>
        <w:rPr>
          <w:rFonts w:ascii="仿宋_GB2312"/>
          <w:szCs w:val="32"/>
        </w:rPr>
        <w:t>1</w:t>
      </w:r>
      <w:r>
        <w:rPr>
          <w:rFonts w:hint="eastAsia" w:ascii="仿宋_GB2312"/>
          <w:szCs w:val="32"/>
        </w:rPr>
        <w:t>、经济性分析，主要包括成本（预算）控制情况和成本（预算）节约情况。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eastAsia="仿宋_GB2312" w:hAnsiTheme="minorHAnsi" w:cstheme="minorBidi"/>
          <w:bCs w:val="0"/>
          <w:color w:val="auto"/>
          <w:kern w:val="2"/>
          <w:sz w:val="32"/>
          <w:szCs w:val="32"/>
          <w:lang w:val="en-US" w:eastAsia="zh-CN" w:bidi="ar-SA"/>
        </w:rPr>
      </w:pPr>
      <w:r>
        <w:rPr>
          <w:rFonts w:hint="eastAsia" w:ascii="仿宋_GB2312"/>
          <w:color w:val="auto"/>
        </w:rPr>
        <w:t>企业离退休独生子女费项目的经济性:依据上年支出情况，合理编制当年预算，并根据每年增资调待相关政策预估资金缺口，向财政及时申请追加资金，已保障待遇按时足额发放。</w:t>
      </w:r>
    </w:p>
    <w:p>
      <w:pPr>
        <w:numPr>
          <w:ilvl w:val="0"/>
          <w:numId w:val="2"/>
        </w:numPr>
        <w:topLinePunct/>
        <w:ind w:firstLine="594" w:firstLineChars="200"/>
        <w:jc w:val="both"/>
        <w:rPr>
          <w:rFonts w:hint="eastAsia" w:ascii="仿宋_GB2312"/>
          <w:szCs w:val="32"/>
        </w:rPr>
      </w:pPr>
      <w:r>
        <w:rPr>
          <w:rFonts w:hint="eastAsia" w:ascii="仿宋_GB2312"/>
          <w:szCs w:val="32"/>
          <w:lang w:val="en-US" w:eastAsia="zh-CN"/>
        </w:rPr>
        <w:t>效益性</w:t>
      </w:r>
      <w:r>
        <w:rPr>
          <w:rFonts w:hint="eastAsia" w:ascii="仿宋_GB2312"/>
          <w:szCs w:val="32"/>
        </w:rPr>
        <w:t>分析，主要包括实施进度和完成质量。</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default" w:eastAsia="仿宋_GB2312"/>
          <w:color w:val="auto"/>
          <w:lang w:val="en-US" w:eastAsia="zh-CN"/>
        </w:rPr>
      </w:pPr>
      <w:r>
        <w:rPr>
          <w:rFonts w:hint="eastAsia"/>
          <w:color w:val="auto"/>
          <w:lang w:val="en-US" w:eastAsia="zh-CN"/>
        </w:rPr>
        <w:t xml:space="preserve"> </w:t>
      </w:r>
      <w:r>
        <w:rPr>
          <w:rFonts w:hint="eastAsia" w:ascii="仿宋_GB2312"/>
          <w:color w:val="auto"/>
        </w:rPr>
        <w:t>对于符合待遇领取人员，严格审核，保障待遇的及时、准确。有效性：企业离退休独子费是落实国家计生政策的重要组成部分，对符合领取待遇人员有一定的保障作用。可持续性：独子费项目是一项政策性很强的长期性的工作，对此将严格落实相关政策要求，确保领取待遇群体的权益的到保障。</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仿宋_GB2312"/>
          <w:szCs w:val="32"/>
        </w:rPr>
      </w:pPr>
      <w:r>
        <w:rPr>
          <w:rFonts w:hint="eastAsia" w:ascii="仿宋_GB2312"/>
          <w:szCs w:val="32"/>
        </w:rPr>
        <w:t>（一）专项管理方面的问题。专项立项依据是否充分；是否有资金管理办法，资金管理办法是否规范等。</w:t>
      </w:r>
    </w:p>
    <w:p>
      <w:pPr>
        <w:topLinePunct/>
        <w:ind w:firstLine="594" w:firstLineChars="200"/>
        <w:rPr>
          <w:rFonts w:hint="eastAsia" w:ascii="仿宋_GB2312"/>
          <w:szCs w:val="32"/>
        </w:rPr>
      </w:pPr>
      <w:r>
        <w:rPr>
          <w:rFonts w:hint="eastAsia" w:ascii="仿宋_GB2312"/>
          <w:szCs w:val="32"/>
        </w:rPr>
        <w:t>呈贡区</w:t>
      </w:r>
      <w:r>
        <w:rPr>
          <w:rFonts w:hint="eastAsia" w:ascii="仿宋_GB2312"/>
          <w:szCs w:val="32"/>
          <w:lang w:val="en-US" w:eastAsia="zh-CN"/>
        </w:rPr>
        <w:t>社保</w:t>
      </w:r>
      <w:r>
        <w:rPr>
          <w:rFonts w:hint="eastAsia" w:ascii="仿宋_GB2312"/>
          <w:szCs w:val="32"/>
        </w:rPr>
        <w:t>局将在现有的制度下，继续针对性的对</w:t>
      </w:r>
      <w:r>
        <w:rPr>
          <w:rFonts w:hint="eastAsia" w:ascii="仿宋_GB2312"/>
          <w:szCs w:val="32"/>
          <w:lang w:val="en-US" w:eastAsia="zh-CN"/>
        </w:rPr>
        <w:t>各</w:t>
      </w:r>
      <w:r>
        <w:rPr>
          <w:rFonts w:hint="eastAsia" w:ascii="仿宋_GB2312"/>
          <w:szCs w:val="32"/>
        </w:rPr>
        <w:t>项目逐步制定资金管理办法。以确保开支各项目资金有依有据。</w:t>
      </w:r>
    </w:p>
    <w:p>
      <w:pPr>
        <w:topLinePunct/>
        <w:ind w:firstLine="594" w:firstLineChars="200"/>
        <w:rPr>
          <w:rFonts w:hint="eastAsia" w:ascii="仿宋_GB2312"/>
          <w:szCs w:val="32"/>
        </w:rPr>
      </w:pPr>
      <w:r>
        <w:rPr>
          <w:rFonts w:hint="eastAsia" w:ascii="仿宋_GB2312"/>
          <w:szCs w:val="32"/>
          <w:lang w:eastAsia="zh-CN"/>
        </w:rPr>
        <w:t>（</w:t>
      </w:r>
      <w:r>
        <w:rPr>
          <w:rFonts w:hint="eastAsia" w:ascii="仿宋_GB2312"/>
          <w:szCs w:val="32"/>
          <w:lang w:val="en-US" w:eastAsia="zh-CN"/>
        </w:rPr>
        <w:t>二）</w:t>
      </w:r>
      <w:r>
        <w:rPr>
          <w:rFonts w:hint="eastAsia" w:ascii="仿宋_GB2312"/>
          <w:szCs w:val="32"/>
        </w:rPr>
        <w:t>资金分配方面的问题。资金分配是否合理，突出重点，公平公正；有无散小差现象；资金分配和使用方向是否与资金管理办法相符等。</w:t>
      </w:r>
    </w:p>
    <w:p>
      <w:pPr>
        <w:topLinePunct/>
        <w:ind w:firstLine="594" w:firstLineChars="200"/>
        <w:rPr>
          <w:rFonts w:hint="eastAsia" w:ascii="仿宋_GB2312"/>
          <w:szCs w:val="32"/>
        </w:rPr>
      </w:pPr>
      <w:r>
        <w:rPr>
          <w:rFonts w:hint="eastAsia" w:ascii="仿宋_GB2312"/>
          <w:szCs w:val="32"/>
        </w:rPr>
        <w:t>呈贡区</w:t>
      </w:r>
      <w:r>
        <w:rPr>
          <w:rFonts w:hint="eastAsia" w:ascii="仿宋_GB2312"/>
          <w:szCs w:val="32"/>
          <w:lang w:val="en-US" w:eastAsia="zh-CN"/>
        </w:rPr>
        <w:t>社保</w:t>
      </w:r>
      <w:r>
        <w:rPr>
          <w:rFonts w:hint="eastAsia" w:ascii="仿宋_GB2312"/>
          <w:szCs w:val="32"/>
        </w:rPr>
        <w:t>局各项目资金分配合理，公平公正；无散小差现象；资金分配和使用方向与资金管理办法相符。</w:t>
      </w:r>
    </w:p>
    <w:p>
      <w:pPr>
        <w:topLinePunct/>
        <w:ind w:firstLine="594" w:firstLineChars="200"/>
        <w:rPr>
          <w:rFonts w:hint="eastAsia" w:ascii="仿宋_GB2312"/>
          <w:szCs w:val="32"/>
          <w:lang w:eastAsia="zh-CN"/>
        </w:rPr>
      </w:pPr>
      <w:r>
        <w:rPr>
          <w:rFonts w:hint="eastAsia" w:ascii="仿宋_GB2312"/>
          <w:szCs w:val="32"/>
          <w:lang w:eastAsia="zh-CN"/>
        </w:rPr>
        <w:t>（</w:t>
      </w:r>
      <w:r>
        <w:rPr>
          <w:rFonts w:hint="eastAsia" w:ascii="仿宋_GB2312"/>
          <w:szCs w:val="32"/>
          <w:lang w:val="en-US" w:eastAsia="zh-CN"/>
        </w:rPr>
        <w:t>三）</w:t>
      </w:r>
      <w:r>
        <w:rPr>
          <w:rFonts w:hint="eastAsia" w:ascii="仿宋_GB2312"/>
          <w:szCs w:val="32"/>
          <w:lang w:eastAsia="zh-CN"/>
        </w:rPr>
        <w:t>资金拨付方面的问题。拨付是否及时，有无滞留、闲置等现象。</w:t>
      </w:r>
    </w:p>
    <w:p>
      <w:pPr>
        <w:topLinePunct/>
        <w:ind w:firstLine="594" w:firstLineChars="200"/>
        <w:rPr>
          <w:rFonts w:hint="eastAsia" w:ascii="仿宋_GB2312"/>
          <w:szCs w:val="32"/>
        </w:rPr>
      </w:pPr>
      <w:r>
        <w:rPr>
          <w:rFonts w:hint="eastAsia" w:ascii="仿宋_GB2312"/>
          <w:szCs w:val="32"/>
        </w:rPr>
        <w:t>呈贡区</w:t>
      </w:r>
      <w:r>
        <w:rPr>
          <w:rFonts w:hint="eastAsia" w:ascii="仿宋_GB2312"/>
          <w:szCs w:val="32"/>
          <w:lang w:val="en-US" w:eastAsia="zh-CN"/>
        </w:rPr>
        <w:t>社保</w:t>
      </w:r>
      <w:r>
        <w:rPr>
          <w:rFonts w:hint="eastAsia" w:ascii="仿宋_GB2312"/>
          <w:szCs w:val="32"/>
        </w:rPr>
        <w:t>局根据政策和经办业务要求，及时向财政申请拨付经费，在收到经费后拨付及时，无滞留、闲置等现象。</w:t>
      </w:r>
    </w:p>
    <w:p>
      <w:pPr>
        <w:topLinePunct/>
        <w:ind w:firstLine="594" w:firstLineChars="200"/>
        <w:rPr>
          <w:rFonts w:hint="eastAsia" w:ascii="仿宋_GB2312"/>
          <w:szCs w:val="32"/>
          <w:lang w:eastAsia="zh-CN"/>
        </w:rPr>
      </w:pPr>
      <w:r>
        <w:rPr>
          <w:rFonts w:hint="eastAsia" w:ascii="仿宋_GB2312"/>
          <w:szCs w:val="32"/>
          <w:lang w:eastAsia="zh-CN"/>
        </w:rPr>
        <w:t>（</w:t>
      </w:r>
      <w:r>
        <w:rPr>
          <w:rFonts w:hint="eastAsia" w:ascii="仿宋_GB2312"/>
          <w:szCs w:val="32"/>
          <w:lang w:val="en-US" w:eastAsia="zh-CN"/>
        </w:rPr>
        <w:t>四）</w:t>
      </w:r>
      <w:r>
        <w:rPr>
          <w:rFonts w:hint="eastAsia" w:ascii="仿宋_GB2312"/>
          <w:szCs w:val="32"/>
          <w:lang w:eastAsia="zh-CN"/>
        </w:rPr>
        <w:t>资金使用方面的问题。资金使用是否合规，有无截留、挪用等现象，资金使用是否产生效益等。</w:t>
      </w:r>
    </w:p>
    <w:p>
      <w:pPr>
        <w:topLinePunct/>
        <w:ind w:firstLine="594" w:firstLineChars="200"/>
        <w:rPr>
          <w:rFonts w:ascii="仿宋_GB2312"/>
          <w:szCs w:val="32"/>
        </w:rPr>
      </w:pPr>
      <w:r>
        <w:rPr>
          <w:rFonts w:hint="eastAsia" w:ascii="仿宋_GB2312"/>
          <w:szCs w:val="32"/>
        </w:rPr>
        <w:t>呈贡区</w:t>
      </w:r>
      <w:r>
        <w:rPr>
          <w:rFonts w:hint="eastAsia" w:ascii="仿宋_GB2312"/>
          <w:szCs w:val="32"/>
          <w:lang w:val="en-US" w:eastAsia="zh-CN"/>
        </w:rPr>
        <w:t>社保</w:t>
      </w:r>
      <w:r>
        <w:rPr>
          <w:rFonts w:hint="eastAsia" w:ascii="仿宋_GB2312"/>
          <w:szCs w:val="32"/>
        </w:rPr>
        <w:t>局资金使用合规，无截留、挪用等现象，资金使用产生一定的社会效益等。</w:t>
      </w:r>
    </w:p>
    <w:p>
      <w:pPr>
        <w:topLinePunct/>
        <w:ind w:firstLine="594" w:firstLineChars="200"/>
        <w:rPr>
          <w:rFonts w:hint="eastAsia" w:ascii="黑体" w:eastAsia="黑体"/>
          <w:szCs w:val="32"/>
          <w:lang w:eastAsia="zh-CN"/>
        </w:rPr>
      </w:pPr>
      <w:r>
        <w:rPr>
          <w:rFonts w:hint="eastAsia" w:ascii="黑体" w:eastAsia="黑体"/>
          <w:szCs w:val="32"/>
          <w:lang w:eastAsia="zh-CN"/>
        </w:rPr>
        <w:t>六</w:t>
      </w:r>
      <w:r>
        <w:rPr>
          <w:rFonts w:hint="eastAsia" w:ascii="黑体" w:eastAsia="黑体"/>
          <w:szCs w:val="32"/>
        </w:rPr>
        <w:t>、其他需要说明的问题</w:t>
      </w:r>
    </w:p>
    <w:p>
      <w:pPr>
        <w:spacing w:line="560" w:lineRule="exact"/>
        <w:ind w:firstLine="594" w:firstLineChars="200"/>
        <w:rPr>
          <w:rFonts w:hint="default" w:ascii="仿宋_GB2312" w:eastAsia="仿宋_GB2312"/>
          <w:szCs w:val="32"/>
          <w:lang w:val="en-US" w:eastAsia="zh-CN"/>
        </w:rPr>
      </w:pPr>
      <w:r>
        <w:rPr>
          <w:rFonts w:hint="eastAsia" w:ascii="仿宋_GB2312"/>
          <w:szCs w:val="32"/>
        </w:rPr>
        <w:t>（一）后续工作计划</w:t>
      </w:r>
      <w:r>
        <w:rPr>
          <w:rFonts w:hint="eastAsia" w:ascii="仿宋_GB2312"/>
          <w:szCs w:val="32"/>
          <w:lang w:val="en-US" w:eastAsia="zh-CN"/>
        </w:rPr>
        <w:t>以及建议</w:t>
      </w:r>
    </w:p>
    <w:p>
      <w:pPr>
        <w:spacing w:line="560" w:lineRule="exact"/>
        <w:ind w:firstLine="594" w:firstLineChars="200"/>
        <w:rPr>
          <w:rFonts w:hint="eastAsia" w:ascii="仿宋" w:hAnsi="仿宋" w:eastAsia="仿宋"/>
          <w:b w:val="0"/>
          <w:bCs/>
          <w:sz w:val="32"/>
          <w:szCs w:val="32"/>
        </w:rPr>
      </w:pPr>
      <w:r>
        <w:rPr>
          <w:rFonts w:hint="eastAsia" w:ascii="仿宋" w:hAnsi="仿宋" w:eastAsia="仿宋"/>
          <w:b w:val="0"/>
          <w:bCs/>
          <w:sz w:val="32"/>
          <w:szCs w:val="32"/>
        </w:rPr>
        <w:t>1、做好社会保险政策宣传和工伤预防宣传工作。</w:t>
      </w:r>
    </w:p>
    <w:p>
      <w:pPr>
        <w:spacing w:line="560" w:lineRule="exact"/>
        <w:ind w:firstLine="624" w:firstLineChars="210"/>
        <w:rPr>
          <w:rFonts w:hint="eastAsia" w:ascii="仿宋" w:hAnsi="仿宋" w:eastAsia="仿宋"/>
          <w:b/>
          <w:sz w:val="32"/>
          <w:szCs w:val="32"/>
        </w:rPr>
      </w:pPr>
      <w:r>
        <w:rPr>
          <w:rFonts w:hint="eastAsia" w:ascii="仿宋" w:hAnsi="仿宋" w:eastAsia="仿宋"/>
          <w:sz w:val="32"/>
          <w:szCs w:val="32"/>
        </w:rPr>
        <w:t>一是联合安监、住建和劳动监察部门深入企业和建筑施工工地开展面对面宣传，并发放各类宣传资料。</w:t>
      </w:r>
    </w:p>
    <w:p>
      <w:pPr>
        <w:spacing w:line="560" w:lineRule="exact"/>
        <w:ind w:firstLine="624" w:firstLineChars="210"/>
        <w:rPr>
          <w:rFonts w:hint="eastAsia" w:ascii="仿宋" w:hAnsi="仿宋" w:eastAsia="仿宋"/>
          <w:sz w:val="32"/>
          <w:szCs w:val="32"/>
        </w:rPr>
      </w:pPr>
      <w:r>
        <w:rPr>
          <w:rFonts w:hint="eastAsia" w:ascii="仿宋" w:hAnsi="仿宋" w:eastAsia="仿宋"/>
          <w:sz w:val="32"/>
          <w:szCs w:val="32"/>
        </w:rPr>
        <w:t>二是印制各类宣传资料发放给各用人单位，同时，利用赶集日到呈贡文化广场摆放展板和发放资料进行宣传。</w:t>
      </w:r>
    </w:p>
    <w:p>
      <w:pPr>
        <w:spacing w:line="560" w:lineRule="exact"/>
        <w:ind w:firstLine="624" w:firstLineChars="210"/>
        <w:rPr>
          <w:rFonts w:hint="eastAsia" w:ascii="仿宋" w:hAnsi="仿宋" w:eastAsia="仿宋"/>
          <w:sz w:val="32"/>
          <w:szCs w:val="32"/>
        </w:rPr>
      </w:pPr>
      <w:r>
        <w:rPr>
          <w:rFonts w:hint="eastAsia" w:ascii="仿宋" w:hAnsi="仿宋" w:eastAsia="仿宋"/>
          <w:sz w:val="32"/>
          <w:szCs w:val="32"/>
        </w:rPr>
        <w:t>三是充分利用呈贡电视台进行工伤保险政策宣传，扩大工伤保险覆盖面。</w:t>
      </w:r>
    </w:p>
    <w:p>
      <w:pPr>
        <w:spacing w:line="560" w:lineRule="exact"/>
        <w:ind w:firstLine="624" w:firstLineChars="210"/>
        <w:rPr>
          <w:rFonts w:hint="eastAsia" w:ascii="仿宋" w:hAnsi="仿宋" w:eastAsia="仿宋"/>
          <w:sz w:val="32"/>
          <w:szCs w:val="32"/>
        </w:rPr>
      </w:pPr>
      <w:r>
        <w:rPr>
          <w:rFonts w:hint="eastAsia" w:ascii="仿宋" w:hAnsi="仿宋" w:eastAsia="仿宋"/>
          <w:sz w:val="32"/>
          <w:szCs w:val="32"/>
        </w:rPr>
        <w:t>四是及时配合劳动合同鉴证部门和建筑施工企业做好参保人员的工伤待遇支付工作。</w:t>
      </w:r>
    </w:p>
    <w:p>
      <w:pPr>
        <w:spacing w:line="560" w:lineRule="exact"/>
        <w:ind w:firstLine="624" w:firstLineChars="210"/>
        <w:rPr>
          <w:rFonts w:hint="eastAsia" w:ascii="仿宋" w:hAnsi="仿宋" w:eastAsia="仿宋"/>
          <w:sz w:val="32"/>
          <w:szCs w:val="32"/>
        </w:rPr>
      </w:pPr>
      <w:r>
        <w:rPr>
          <w:rFonts w:hint="eastAsia" w:ascii="仿宋" w:hAnsi="仿宋" w:eastAsia="仿宋"/>
          <w:b w:val="0"/>
          <w:bCs/>
          <w:sz w:val="32"/>
          <w:szCs w:val="32"/>
        </w:rPr>
        <w:t>2、做好养老、工伤保险的参保工作和社会保险基金的征缴管理，确保社会保险基金安全运行。</w:t>
      </w:r>
    </w:p>
    <w:p>
      <w:pPr>
        <w:spacing w:line="560" w:lineRule="exact"/>
        <w:ind w:firstLine="624" w:firstLineChars="210"/>
        <w:rPr>
          <w:rFonts w:hint="eastAsia" w:ascii="仿宋" w:hAnsi="仿宋" w:eastAsia="仿宋"/>
          <w:sz w:val="32"/>
          <w:szCs w:val="32"/>
        </w:rPr>
      </w:pPr>
      <w:r>
        <w:rPr>
          <w:rFonts w:hint="eastAsia" w:ascii="仿宋" w:hAnsi="仿宋" w:eastAsia="仿宋"/>
          <w:sz w:val="32"/>
          <w:szCs w:val="32"/>
        </w:rPr>
        <w:t>一是加大社会保险政策宣传力度，让广大用工单位熟悉社会保险政策，积极为职工购买社会保险。</w:t>
      </w:r>
    </w:p>
    <w:p>
      <w:pPr>
        <w:spacing w:line="560" w:lineRule="exact"/>
        <w:ind w:firstLine="624" w:firstLineChars="210"/>
        <w:rPr>
          <w:rFonts w:hint="eastAsia" w:ascii="仿宋" w:hAnsi="仿宋" w:eastAsia="仿宋"/>
          <w:sz w:val="32"/>
          <w:szCs w:val="32"/>
        </w:rPr>
      </w:pPr>
      <w:r>
        <w:rPr>
          <w:rFonts w:hint="eastAsia" w:ascii="仿宋" w:hAnsi="仿宋" w:eastAsia="仿宋"/>
          <w:sz w:val="32"/>
          <w:szCs w:val="32"/>
        </w:rPr>
        <w:t>二是加强社会保险业务经办人员的政策学习，做好社会保险业务经办的硬件设施建设，提高社保业务经办服务水平，为参保人提供优质的经办服务。</w:t>
      </w:r>
    </w:p>
    <w:p>
      <w:pPr>
        <w:spacing w:line="560" w:lineRule="exact"/>
        <w:ind w:firstLine="624" w:firstLineChars="210"/>
        <w:rPr>
          <w:rFonts w:hint="eastAsia" w:ascii="仿宋" w:hAnsi="仿宋" w:eastAsia="仿宋"/>
          <w:sz w:val="32"/>
          <w:szCs w:val="32"/>
        </w:rPr>
      </w:pPr>
      <w:r>
        <w:rPr>
          <w:rFonts w:hint="eastAsia" w:ascii="仿宋" w:hAnsi="仿宋" w:eastAsia="仿宋"/>
          <w:sz w:val="32"/>
          <w:szCs w:val="32"/>
        </w:rPr>
        <w:t>三是做好参保人的各项权益维护和待遇支付工作。</w:t>
      </w:r>
    </w:p>
    <w:p>
      <w:pPr>
        <w:spacing w:line="560" w:lineRule="exact"/>
        <w:ind w:firstLine="624" w:firstLineChars="210"/>
        <w:rPr>
          <w:rFonts w:hint="eastAsia" w:ascii="仿宋" w:hAnsi="仿宋" w:eastAsia="仿宋"/>
          <w:sz w:val="32"/>
          <w:szCs w:val="32"/>
        </w:rPr>
      </w:pPr>
      <w:r>
        <w:rPr>
          <w:rFonts w:hint="eastAsia" w:ascii="仿宋" w:hAnsi="仿宋" w:eastAsia="仿宋"/>
          <w:sz w:val="32"/>
          <w:szCs w:val="32"/>
        </w:rPr>
        <w:t>四是加强与财政、地税部门的协作，共同做好社会保险基金的征缴管理工作，确保社会保险基金安全运行。</w:t>
      </w:r>
    </w:p>
    <w:p>
      <w:pPr>
        <w:spacing w:line="560" w:lineRule="exact"/>
        <w:ind w:firstLine="624" w:firstLineChars="210"/>
      </w:pPr>
      <w:r>
        <w:rPr>
          <w:rFonts w:hint="eastAsia" w:ascii="仿宋" w:hAnsi="仿宋" w:eastAsia="仿宋"/>
          <w:b w:val="0"/>
          <w:bCs/>
          <w:sz w:val="32"/>
          <w:szCs w:val="32"/>
        </w:rPr>
        <w:t>3、加强业务经办信息化建设，转变业务经办模式，业务经办由传统的窗口“面对面”办理转到“不见面”的网上提交受理。积极向参保人宣传推广使用云南“一部手机办事通”APP和云南人社网上服务大厅等线上业务经办平台，让“数据多跑腿、群众少跑路”，提升社保业务网厅经办数量和质量，促使业务经办由窗口办理向线上经办转变。</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8A890C"/>
    <w:multiLevelType w:val="singleLevel"/>
    <w:tmpl w:val="A38A890C"/>
    <w:lvl w:ilvl="0" w:tentative="0">
      <w:start w:val="2"/>
      <w:numFmt w:val="chineseCounting"/>
      <w:suff w:val="nothing"/>
      <w:lvlText w:val="（%1）"/>
      <w:lvlJc w:val="left"/>
      <w:rPr>
        <w:rFonts w:hint="eastAsia"/>
      </w:rPr>
    </w:lvl>
  </w:abstractNum>
  <w:abstractNum w:abstractNumId="1">
    <w:nsid w:val="EFDF32D9"/>
    <w:multiLevelType w:val="singleLevel"/>
    <w:tmpl w:val="EFDF32D9"/>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63F9E"/>
    <w:rsid w:val="05066F35"/>
    <w:rsid w:val="05AE36CA"/>
    <w:rsid w:val="280A548E"/>
    <w:rsid w:val="378A5996"/>
    <w:rsid w:val="3D7F58A6"/>
    <w:rsid w:val="54B55919"/>
    <w:rsid w:val="5A3C6978"/>
    <w:rsid w:val="67600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2"/>
    <w:basedOn w:val="1"/>
    <w:next w:val="1"/>
    <w:qFormat/>
    <w:uiPriority w:val="0"/>
    <w:pPr>
      <w:overflowPunct w:val="0"/>
      <w:spacing w:line="560" w:lineRule="exact"/>
      <w:ind w:firstLine="641"/>
      <w:outlineLvl w:val="1"/>
    </w:pPr>
    <w:rPr>
      <w:rFonts w:ascii="Cambria" w:hAnsi="Cambria" w:eastAsia="楷体_GB2312" w:cs="Times New Roman"/>
      <w:bCs/>
      <w:sz w:val="32"/>
      <w:szCs w:val="32"/>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HP</cp:lastModifiedBy>
  <dcterms:modified xsi:type="dcterms:W3CDTF">2023-04-06T06:19:42Z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A2A584EC681A4E569B925D9A213023D6</vt:lpwstr>
  </property>
</Properties>
</file>