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3-2</w:t>
      </w:r>
      <w:r>
        <w:rPr>
          <w:rFonts w:hint="eastAsia" w:ascii="黑体" w:eastAsia="黑体"/>
          <w:szCs w:val="32"/>
        </w:rPr>
        <w:t>：</w:t>
      </w:r>
    </w:p>
    <w:p>
      <w:pPr>
        <w:spacing w:line="600" w:lineRule="exact"/>
        <w:rPr>
          <w:rFonts w:ascii="黑体" w:eastAsia="黑体"/>
          <w:szCs w:val="32"/>
        </w:rPr>
      </w:pPr>
    </w:p>
    <w:p>
      <w:pPr>
        <w:spacing w:line="600" w:lineRule="exact"/>
        <w:jc w:val="center"/>
        <w:rPr>
          <w:rFonts w:hint="eastAsia" w:ascii="方正小标宋_GBK" w:eastAsia="方正小标宋_GBK"/>
          <w:sz w:val="36"/>
          <w:szCs w:val="36"/>
          <w:lang w:val="en-US" w:eastAsia="zh-CN"/>
        </w:rPr>
      </w:pPr>
      <w:r>
        <w:rPr>
          <w:rFonts w:hint="eastAsia" w:ascii="方正小标宋_GBK" w:eastAsia="方正小标宋_GBK"/>
          <w:sz w:val="36"/>
          <w:szCs w:val="36"/>
          <w:lang w:val="en-US" w:eastAsia="zh-CN"/>
        </w:rPr>
        <w:t>昆明市呈贡区社会保险事业管理局</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整体支出绩效评价报告</w:t>
      </w:r>
      <w:bookmarkStart w:id="2" w:name="_GoBack"/>
      <w:bookmarkEnd w:id="2"/>
    </w:p>
    <w:p>
      <w:pPr>
        <w:spacing w:line="600" w:lineRule="exact"/>
        <w:ind w:firstLine="669" w:firstLineChars="225"/>
        <w:rPr>
          <w:rFonts w:ascii="仿宋_GB2312"/>
          <w:b/>
          <w:szCs w:val="32"/>
        </w:rPr>
      </w:pPr>
    </w:p>
    <w:p>
      <w:pPr>
        <w:keepNext w:val="0"/>
        <w:keepLines w:val="0"/>
        <w:pageBreakBefore w:val="0"/>
        <w:widowControl w:val="0"/>
        <w:kinsoku/>
        <w:wordWrap/>
        <w:overflowPunct/>
        <w:topLinePunct/>
        <w:autoSpaceDE/>
        <w:autoSpaceDN/>
        <w:bidi w:val="0"/>
        <w:adjustRightInd/>
        <w:spacing w:line="360" w:lineRule="auto"/>
        <w:ind w:firstLine="594" w:firstLineChars="200"/>
        <w:textAlignment w:val="auto"/>
        <w:rPr>
          <w:rFonts w:ascii="黑体" w:eastAsia="黑体"/>
          <w:szCs w:val="32"/>
        </w:rPr>
      </w:pPr>
      <w:r>
        <w:rPr>
          <w:rFonts w:hint="eastAsia" w:ascii="黑体" w:eastAsia="黑体"/>
          <w:szCs w:val="32"/>
        </w:rPr>
        <w:t>一、基本情况</w:t>
      </w:r>
    </w:p>
    <w:p>
      <w:pPr>
        <w:topLinePunct/>
        <w:ind w:firstLine="594" w:firstLineChars="200"/>
        <w:rPr>
          <w:rFonts w:ascii="仿宋_GB2312"/>
          <w:szCs w:val="32"/>
        </w:rPr>
      </w:pPr>
      <w:r>
        <w:rPr>
          <w:rFonts w:hint="eastAsia" w:ascii="仿宋_GB2312"/>
          <w:szCs w:val="32"/>
        </w:rPr>
        <w:t>（一）部门整体支出概况，年</w:t>
      </w:r>
      <w:r>
        <w:rPr>
          <w:rFonts w:hint="eastAsia" w:ascii="仿宋_GB2312"/>
          <w:szCs w:val="32"/>
          <w:lang w:eastAsia="zh-CN"/>
        </w:rPr>
        <w:t>度</w:t>
      </w:r>
      <w:r>
        <w:rPr>
          <w:rFonts w:hint="eastAsia" w:ascii="仿宋_GB2312"/>
          <w:szCs w:val="32"/>
        </w:rPr>
        <w:t>部门决算收支完成情况，包括收入构成、支出构成、年初预算完成率、当年收支平衡和年终结转结余情况等。</w:t>
      </w:r>
    </w:p>
    <w:p>
      <w:pPr>
        <w:keepNext w:val="0"/>
        <w:keepLines w:val="0"/>
        <w:pageBreakBefore w:val="0"/>
        <w:kinsoku/>
        <w:wordWrap/>
        <w:overflowPunct/>
        <w:topLinePunct w:val="0"/>
        <w:autoSpaceDE/>
        <w:autoSpaceDN/>
        <w:bidi w:val="0"/>
        <w:snapToGrid w:val="0"/>
        <w:spacing w:line="360" w:lineRule="auto"/>
        <w:ind w:firstLine="594"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202</w:t>
      </w:r>
      <w:r>
        <w:rPr>
          <w:rFonts w:hint="eastAsia" w:ascii="仿宋_GB2312" w:hAnsi="仿宋"/>
          <w:sz w:val="32"/>
          <w:szCs w:val="32"/>
          <w:lang w:val="en-US" w:eastAsia="zh-CN"/>
        </w:rPr>
        <w:t>2</w:t>
      </w:r>
      <w:r>
        <w:rPr>
          <w:rFonts w:hint="eastAsia" w:ascii="仿宋_GB2312" w:hAnsi="仿宋" w:eastAsia="仿宋_GB2312"/>
          <w:sz w:val="32"/>
          <w:szCs w:val="32"/>
        </w:rPr>
        <w:t>年我局年初预算数为</w:t>
      </w:r>
      <w:r>
        <w:rPr>
          <w:rFonts w:hint="eastAsia" w:ascii="仿宋_GB2312" w:hAnsi="仿宋"/>
          <w:sz w:val="32"/>
          <w:szCs w:val="32"/>
          <w:lang w:val="en-US" w:eastAsia="zh-CN"/>
        </w:rPr>
        <w:t>2624.58</w:t>
      </w:r>
      <w:r>
        <w:rPr>
          <w:rFonts w:hint="eastAsia" w:ascii="仿宋_GB2312" w:hAnsi="仿宋" w:eastAsia="仿宋_GB2312"/>
          <w:sz w:val="32"/>
          <w:szCs w:val="32"/>
        </w:rPr>
        <w:t>万元，比</w:t>
      </w:r>
      <w:r>
        <w:rPr>
          <w:rFonts w:hint="eastAsia" w:ascii="仿宋_GB2312" w:hAnsi="仿宋" w:eastAsia="仿宋_GB2312"/>
          <w:sz w:val="32"/>
          <w:szCs w:val="32"/>
          <w:lang w:val="en-US" w:eastAsia="zh-CN"/>
        </w:rPr>
        <w:t>202</w:t>
      </w:r>
      <w:r>
        <w:rPr>
          <w:rFonts w:hint="eastAsia" w:ascii="仿宋_GB2312" w:hAnsi="仿宋"/>
          <w:sz w:val="32"/>
          <w:szCs w:val="32"/>
          <w:lang w:val="en-US" w:eastAsia="zh-CN"/>
        </w:rPr>
        <w:t>1</w:t>
      </w:r>
      <w:r>
        <w:rPr>
          <w:rFonts w:hint="eastAsia" w:ascii="仿宋_GB2312" w:hAnsi="仿宋" w:eastAsia="仿宋_GB2312"/>
          <w:sz w:val="32"/>
          <w:szCs w:val="32"/>
        </w:rPr>
        <w:t>年年初预算数</w:t>
      </w:r>
      <w:r>
        <w:rPr>
          <w:rFonts w:hint="eastAsia" w:ascii="仿宋_GB2312" w:hAnsi="仿宋"/>
          <w:sz w:val="32"/>
          <w:szCs w:val="32"/>
          <w:lang w:val="en-US" w:eastAsia="zh-CN"/>
        </w:rPr>
        <w:t>3453.15</w:t>
      </w:r>
      <w:r>
        <w:rPr>
          <w:rFonts w:hint="eastAsia" w:ascii="仿宋_GB2312" w:hAnsi="仿宋" w:eastAsia="仿宋_GB2312"/>
          <w:sz w:val="32"/>
          <w:szCs w:val="32"/>
        </w:rPr>
        <w:t>万元</w:t>
      </w:r>
      <w:r>
        <w:rPr>
          <w:rFonts w:hint="eastAsia" w:ascii="仿宋_GB2312" w:hAnsi="仿宋"/>
          <w:sz w:val="32"/>
          <w:szCs w:val="32"/>
          <w:lang w:val="en-US" w:eastAsia="zh-CN"/>
        </w:rPr>
        <w:t>减少828.57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主要原因是2022年减少职业年金计息工作经费735.6万元。</w:t>
      </w:r>
    </w:p>
    <w:p>
      <w:pPr>
        <w:keepNext w:val="0"/>
        <w:keepLines w:val="0"/>
        <w:pageBreakBefore w:val="0"/>
        <w:kinsoku/>
        <w:wordWrap/>
        <w:overflowPunct/>
        <w:topLinePunct w:val="0"/>
        <w:autoSpaceDE/>
        <w:autoSpaceDN/>
        <w:bidi w:val="0"/>
        <w:snapToGrid w:val="0"/>
        <w:spacing w:line="360" w:lineRule="auto"/>
        <w:ind w:firstLine="594"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年我局收入决算数为</w:t>
      </w:r>
      <w:r>
        <w:rPr>
          <w:rFonts w:hint="eastAsia" w:ascii="仿宋_GB2312" w:hAnsi="仿宋" w:eastAsia="仿宋_GB2312"/>
          <w:sz w:val="32"/>
          <w:szCs w:val="32"/>
          <w:lang w:val="en-US" w:eastAsia="zh-CN"/>
        </w:rPr>
        <w:t>2540.81</w:t>
      </w:r>
      <w:r>
        <w:rPr>
          <w:rFonts w:hint="eastAsia" w:ascii="仿宋_GB2312" w:hAnsi="仿宋" w:eastAsia="仿宋_GB2312"/>
          <w:sz w:val="32"/>
          <w:szCs w:val="32"/>
        </w:rPr>
        <w:t>万元，比20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年决收入决算数</w:t>
      </w:r>
      <w:r>
        <w:rPr>
          <w:rFonts w:hint="eastAsia" w:ascii="仿宋_GB2312" w:hAnsi="仿宋" w:eastAsia="仿宋_GB2312"/>
          <w:sz w:val="32"/>
          <w:szCs w:val="32"/>
          <w:lang w:val="en-US" w:eastAsia="zh-CN"/>
        </w:rPr>
        <w:t>3242.71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减少701.9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原因是</w:t>
      </w:r>
      <w:r>
        <w:rPr>
          <w:rFonts w:hint="eastAsia" w:ascii="仿宋_GB2312" w:hAnsi="仿宋" w:eastAsia="仿宋_GB2312"/>
          <w:sz w:val="32"/>
          <w:szCs w:val="32"/>
          <w:lang w:val="en-US" w:eastAsia="zh-CN"/>
        </w:rPr>
        <w:t>2022年职业年金计息工作经费减少735.6万。</w:t>
      </w:r>
    </w:p>
    <w:p>
      <w:pPr>
        <w:keepNext w:val="0"/>
        <w:keepLines w:val="0"/>
        <w:pageBreakBefore w:val="0"/>
        <w:kinsoku/>
        <w:wordWrap/>
        <w:overflowPunct/>
        <w:topLinePunct w:val="0"/>
        <w:autoSpaceDE/>
        <w:autoSpaceDN/>
        <w:bidi w:val="0"/>
        <w:snapToGrid w:val="0"/>
        <w:spacing w:line="360" w:lineRule="auto"/>
        <w:ind w:firstLine="594" w:firstLineChars="200"/>
        <w:textAlignment w:val="auto"/>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年支出决算数为</w:t>
      </w:r>
      <w:r>
        <w:rPr>
          <w:rFonts w:hint="eastAsia" w:ascii="仿宋_GB2312" w:hAnsi="仿宋" w:eastAsia="仿宋_GB2312"/>
          <w:sz w:val="32"/>
          <w:szCs w:val="32"/>
          <w:lang w:val="en-US" w:eastAsia="zh-CN"/>
        </w:rPr>
        <w:t>2540.81</w:t>
      </w:r>
      <w:r>
        <w:rPr>
          <w:rFonts w:hint="eastAsia" w:ascii="仿宋_GB2312" w:hAnsi="仿宋" w:eastAsia="仿宋_GB2312"/>
          <w:sz w:val="32"/>
          <w:szCs w:val="32"/>
        </w:rPr>
        <w:t>万元，比20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年支出决算数</w:t>
      </w:r>
      <w:r>
        <w:rPr>
          <w:rFonts w:hint="eastAsia" w:ascii="仿宋_GB2312" w:hAnsi="仿宋" w:eastAsia="仿宋_GB2312"/>
          <w:sz w:val="32"/>
          <w:szCs w:val="32"/>
          <w:lang w:val="en-US" w:eastAsia="zh-CN"/>
        </w:rPr>
        <w:t>3242.71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减少701.9</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原因是</w:t>
      </w:r>
      <w:r>
        <w:rPr>
          <w:rFonts w:hint="eastAsia" w:ascii="仿宋_GB2312" w:hAnsi="仿宋" w:eastAsia="仿宋_GB2312"/>
          <w:sz w:val="32"/>
          <w:szCs w:val="32"/>
          <w:lang w:val="en-US" w:eastAsia="zh-CN"/>
        </w:rPr>
        <w:t>2022年职业年金计息工作经费减少735.6万。</w:t>
      </w:r>
    </w:p>
    <w:p>
      <w:pPr>
        <w:numPr>
          <w:ilvl w:val="0"/>
          <w:numId w:val="1"/>
        </w:numPr>
        <w:topLinePunct/>
        <w:ind w:left="-2" w:leftChars="0" w:firstLine="594" w:firstLineChars="0"/>
        <w:rPr>
          <w:rFonts w:hint="eastAsia" w:ascii="仿宋_GB2312"/>
          <w:szCs w:val="32"/>
          <w:lang w:eastAsia="zh-CN"/>
        </w:rPr>
      </w:pPr>
      <w:r>
        <w:rPr>
          <w:rFonts w:hint="eastAsia" w:ascii="仿宋_GB2312"/>
          <w:szCs w:val="32"/>
        </w:rPr>
        <w:t>部门整体支出绩效目标，主要包括区委、区政府或上级主管部门绩效考核的个性指标、预决算公开、存量资金管理、资产管理、三公经费控制、内部管理制度建设等的设定及完成情况，项目绩效总目标和阶段性目标完成情况及预期经济、社会效益等。</w:t>
      </w:r>
    </w:p>
    <w:p>
      <w:pPr>
        <w:keepNext w:val="0"/>
        <w:keepLines w:val="0"/>
        <w:pageBreakBefore w:val="0"/>
        <w:widowControl w:val="0"/>
        <w:kinsoku/>
        <w:wordWrap/>
        <w:overflowPunct/>
        <w:topLinePunct w:val="0"/>
        <w:autoSpaceDE/>
        <w:autoSpaceDN/>
        <w:bidi w:val="0"/>
        <w:adjustRightInd/>
        <w:snapToGrid w:val="0"/>
        <w:spacing w:line="360" w:lineRule="auto"/>
        <w:ind w:firstLine="594"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202</w:t>
      </w:r>
      <w:r>
        <w:rPr>
          <w:rFonts w:hint="eastAsia" w:ascii="仿宋_GB2312" w:hAnsi="仿宋"/>
          <w:sz w:val="32"/>
          <w:szCs w:val="32"/>
          <w:lang w:val="en-US" w:eastAsia="zh-CN"/>
        </w:rPr>
        <w:t>2</w:t>
      </w:r>
      <w:r>
        <w:rPr>
          <w:rFonts w:hint="eastAsia" w:ascii="仿宋_GB2312" w:hAnsi="仿宋" w:eastAsia="仿宋_GB2312"/>
          <w:sz w:val="32"/>
          <w:szCs w:val="32"/>
        </w:rPr>
        <w:t>年，我局在区委区政府和区人社局的正确领导下，在市社保局的业务指导下，以邓小平理论、“三个代表”重要思想、科学发展观、十九届五中全会精神为指导，紧紧围绕“两个确保”的宗旨，开拓创新，扎实工作，圆满完成各项工作任务</w:t>
      </w:r>
      <w:r>
        <w:rPr>
          <w:rFonts w:hint="eastAsia" w:ascii="仿宋_GB2312" w:hAnsi="仿宋" w:eastAsia="仿宋_GB2312"/>
          <w:sz w:val="32"/>
          <w:szCs w:val="32"/>
          <w:lang w:eastAsia="zh-CN"/>
        </w:rPr>
        <w:t>。</w:t>
      </w:r>
      <w:r>
        <w:rPr>
          <w:rFonts w:hint="eastAsia" w:ascii="仿宋_GB2312" w:hAnsi="仿宋" w:eastAsia="仿宋_GB2312"/>
          <w:sz w:val="32"/>
          <w:szCs w:val="32"/>
        </w:rPr>
        <w:t>加强了预算编制绩效管理。强化项目绩效目标，每年对我单位申报的预算项目进行全面梳理，确保所有项目都有明细的资金测算。对所有预算项目，全部制定绩效目标，包括立项依据、项目内容和目标、实施周期、预算金额等。</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594" w:firstLineChars="200"/>
        <w:textAlignment w:val="auto"/>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一</w:t>
      </w:r>
      <w:r>
        <w:rPr>
          <w:rFonts w:hint="eastAsia" w:ascii="仿宋_GB2312" w:hAnsi="微软雅黑" w:eastAsia="仿宋_GB2312"/>
          <w:color w:val="000000"/>
          <w:sz w:val="32"/>
          <w:szCs w:val="32"/>
        </w:rPr>
        <w:t>）确保离退休人员养老金按时足额发放，及时兑付退休人员养老金待遇调整，推动社会化管理服务工作</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594" w:firstLineChars="200"/>
        <w:textAlignment w:val="auto"/>
        <w:rPr>
          <w:rFonts w:hint="eastAsia" w:ascii="仿宋" w:hAnsi="仿宋" w:eastAsia="仿宋"/>
          <w:bCs/>
          <w:color w:val="auto"/>
          <w:sz w:val="32"/>
        </w:rPr>
      </w:pPr>
      <w:r>
        <w:rPr>
          <w:rFonts w:hint="eastAsia" w:ascii="仿宋_GB2312" w:hAnsi="微软雅黑" w:eastAsia="仿宋_GB2312"/>
          <w:color w:val="000000"/>
          <w:sz w:val="32"/>
          <w:szCs w:val="32"/>
        </w:rPr>
        <w:t>一是确保离退休人员养老保险金按时足额发放。截止10月，全区机关、事业单位离退休职工1462人，累计发放退休金6683.61万元；企业离退休人员 3378人，累计发放养老金8430.99万元，社会化发放率和离退休</w:t>
      </w:r>
      <w:r>
        <w:rPr>
          <w:rFonts w:hint="eastAsia" w:ascii="仿宋" w:hAnsi="仿宋" w:eastAsia="仿宋"/>
          <w:bCs/>
          <w:color w:val="auto"/>
          <w:sz w:val="32"/>
        </w:rPr>
        <w:t>人员数据入库率均达到100％。</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594" w:firstLineChars="200"/>
        <w:textAlignment w:val="auto"/>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二是积极探索开展离退休人员待遇领取资格认证工作。本着让“群众少跑腿，数据多跑路”的原则，运用大数据、互联网+人社做等技术。及时推广使用“云南人社12333”APP和“一部手机办事通”APP开展线上认证工作，同时结合经办窗口现场认证、行动不便人员上门认证的“三位一体”社会化认证服务工作方式，方便离退休人员开展待遇领取资格认证。截止目前，对5000多名退休人员进行了待遇领取资格认证。同时协助异地退休人员生存认证600余人，有效地确保了基金安全运行。</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594" w:firstLineChars="200"/>
        <w:textAlignment w:val="auto"/>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三是顺利完成企业、机关事业单位退休人员增资调待工作。按照人力资源社会保障部、财政部印发《关于2021年调整退休人员基本养老金的通知》精神，采取“定额、挂钩、倾斜相结合”的调整办法，于6月将养老金增资后的发放数据成功推送到各发放银行网点，圆满完成了退休人员增资调待工作任务。本次增资我区退休人员共有4920人（企业退休人员3486人，机关事业单位退休人员  1434人）符合增资范围，人均月增资 162 元，补发1-6月增资457.21万元。</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594" w:firstLineChars="200"/>
        <w:textAlignment w:val="auto"/>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val="en-US" w:eastAsia="zh-CN"/>
        </w:rPr>
        <w:t>四</w:t>
      </w:r>
      <w:r>
        <w:rPr>
          <w:rFonts w:hint="eastAsia" w:ascii="仿宋_GB2312" w:hAnsi="微软雅黑" w:eastAsia="仿宋_GB2312"/>
          <w:color w:val="000000"/>
          <w:sz w:val="32"/>
          <w:szCs w:val="32"/>
        </w:rPr>
        <w:t>是积极开展离退休人员春节慰问活动。按照昆明市社保局的安排和部署，我局和街道、社区领导及企业负责人一道对省属企业十四冶一公司、市属呈钢工贸公司和橡胶五厂离退休困难党员和职工261人进行了节日慰问，发放慰问金11.92万元。通过走访慰问活动，体现了党对企业离退休困难党员和困难职工的关心和关怀，进一步拉近了党同广大企业离退休职工的距离，增进了感情。</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594" w:firstLineChars="200"/>
        <w:textAlignment w:val="auto"/>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val="en-US" w:eastAsia="zh-CN"/>
        </w:rPr>
        <w:t>五</w:t>
      </w:r>
      <w:r>
        <w:rPr>
          <w:rFonts w:hint="eastAsia" w:ascii="仿宋_GB2312" w:hAnsi="微软雅黑" w:eastAsia="仿宋_GB2312"/>
          <w:color w:val="000000"/>
          <w:sz w:val="32"/>
          <w:szCs w:val="32"/>
        </w:rPr>
        <w:t>是推进国有企业离退休人员移交属地社会化管理服务工作。按照云南省人民政府办公厅《关于印发云南省国有企业退休人员社会化管理工作方案的通知》（云政办发〔2019〕93号）和昆明市人民政府办公室《关于印发昆明市国有企业退休人员社会化管理工作实施方案的通知》（昆政办〔2020〕31号）精神要求，我局在区国资委的牵头下，积极对接区级相关部门和各街道、社区，工作正在有序开展。</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594" w:firstLineChars="200"/>
        <w:textAlignment w:val="auto"/>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二</w:t>
      </w:r>
      <w:r>
        <w:rPr>
          <w:rFonts w:hint="eastAsia" w:ascii="仿宋_GB2312" w:hAnsi="微软雅黑" w:eastAsia="仿宋_GB2312"/>
          <w:color w:val="000000"/>
          <w:sz w:val="32"/>
          <w:szCs w:val="32"/>
        </w:rPr>
        <w:t>）扎实做好养老、工伤保险参保核定和征缴工作</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594" w:firstLineChars="200"/>
        <w:textAlignment w:val="auto"/>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一是积极推行业务经办线上“不见面”服务。积极推广“云南人社网上服务大厅”、“一部手机办事通”和“云南人社12333”APP，实现“不见面”线上办理养老保险、工伤保险参保、人员增减变动、跨省、跨地州和市内县区间参保关系互转、参保证明和缴费明细打印、待遇领取资格认证等业务。让群众少跑腿，数据多跑路，为参保企业提供便捷高效的服务，助力企业发展。目前，线上办理养老保险、工伤保险2504家，31053件，线上办理率达 99.21%。</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594" w:firstLineChars="200"/>
        <w:textAlignment w:val="auto"/>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二是严格按照省、市社保局有关指示精神和要求，积极做好机关事业单位、企业、城镇个体工商户、灵活就业人员养老保险的参保和缴费核定工作。截止10月份，机关事业单位、企业职工和城镇自谋职业人员参加城镇职工基本养老保险4.87万人，完成市级下达目标任务数的102.1%，征缴机关事业单位养老保险费6798.08万元，征缴职业年金1475.08万元，征缴企业职工基本养老保险费2.46亿元。参保覆盖面达97 %。</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594" w:firstLineChars="200"/>
        <w:textAlignment w:val="auto"/>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三是积极宣传《工伤保险条例》，做好参统企业工伤保险金的申报、核定和征缴工作。10月，工伤保险参保6.82万人，完成市级下达目标任务数的111.6%，征缴工伤保险费969.48   万元，支付357人工伤保险费 1433.33万元。建立工伤保险收支台帐，无多领、冒领工伤保险金的现象发生。</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594" w:firstLineChars="200"/>
        <w:textAlignment w:val="auto"/>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四是积极推进建筑行业工伤保险按项目参保工作。随着呈贡新区建设的快速推进，到新区投资兴业的建筑施工企业越来越多，为了护航新区平安建设，提高高风险建筑施工企业职工的工伤保障水平，我局及时联合住建、安监等部门实地到建筑施工企业大力宣传建筑行业工伤保险按项目参保工作，截止10月份，工伤按项目参保企业102家，参保 3.26万人，参保项目总工程造价154.3亿元，征缴工伤保险费2579万元。新开工工程建设项目工伤保险参保率达90%以上。</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594" w:firstLineChars="200"/>
        <w:textAlignment w:val="auto"/>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三</w:t>
      </w:r>
      <w:r>
        <w:rPr>
          <w:rFonts w:hint="eastAsia" w:ascii="仿宋_GB2312" w:hAnsi="微软雅黑" w:eastAsia="仿宋_GB2312"/>
          <w:color w:val="000000"/>
          <w:sz w:val="32"/>
          <w:szCs w:val="32"/>
        </w:rPr>
        <w:t>）加强社保基金监督稽核及清欠工作</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594" w:firstLineChars="200"/>
        <w:textAlignment w:val="auto"/>
        <w:rPr>
          <w:rFonts w:hint="eastAsia" w:ascii="仿宋_GB2312" w:hAnsi="微软雅黑" w:eastAsia="仿宋_GB2312"/>
          <w:color w:val="000000"/>
          <w:sz w:val="32"/>
          <w:szCs w:val="32"/>
          <w:lang w:eastAsia="zh-CN"/>
        </w:rPr>
      </w:pPr>
      <w:r>
        <w:rPr>
          <w:rFonts w:hint="eastAsia" w:ascii="仿宋_GB2312" w:hAnsi="微软雅黑" w:eastAsia="仿宋_GB2312"/>
          <w:color w:val="000000"/>
          <w:sz w:val="32"/>
          <w:szCs w:val="32"/>
        </w:rPr>
        <w:t>我局按照省级统筹、“收支两条线”的管理规定，认真贯彻执行好国务院“两个确保”的重要指示，认真做好各项社会保险基金的征收、管理工作，确保各项基金专款专用。严格遵守财经纪律，坚持财务审批及管理制度，严格按照会计制度办事，帐务实行电算化管理，按时、按质上报财务报表和统计报表。今年，按照省市的统一安排和部署，深入开展了“多领冒领、截留套取养老金等社会保险待遇违法违规行为专项整治”活动，坚持底线思维、坚持问题导向、坚持突出重点，坚决打击多领冒领、截留套取养老保险待遇和工伤保险长期待遇违规行为，以“零容忍”的态度坚决严惩违规行为。我局工作人员加班加点、夜以继日地苦工实干，通过电话、走访、上门核实等方式开展疑点数据核查，确保情况准，数据实。及时抽调社保、城保、仲裁、劳动监察工作人员组成违规领取待遇追缴工作队，深入街道、社区和群众家里，讲政策、摆道理、拉家常等方式做群众思想工作，对拒不退还违规领取待遇的，下达稽核告知书，限期完成整改。截止目前，</w:t>
      </w:r>
      <w:bookmarkStart w:id="0" w:name="_Hlk71619857"/>
      <w:r>
        <w:rPr>
          <w:rFonts w:hint="eastAsia" w:ascii="仿宋_GB2312" w:hAnsi="微软雅黑" w:eastAsia="仿宋_GB2312"/>
          <w:color w:val="000000"/>
          <w:sz w:val="32"/>
          <w:szCs w:val="32"/>
        </w:rPr>
        <w:t>呈贡区企业养老保险、机关事业养老保险、工伤保险疑点数据共计96条，已全部核查，核查率100</w:t>
      </w:r>
      <w:bookmarkStart w:id="1" w:name="_Hlk71619342"/>
      <w:r>
        <w:rPr>
          <w:rFonts w:hint="eastAsia" w:ascii="仿宋_GB2312" w:hAnsi="微软雅黑" w:eastAsia="仿宋_GB2312"/>
          <w:color w:val="000000"/>
          <w:sz w:val="32"/>
          <w:szCs w:val="32"/>
        </w:rPr>
        <w:t>％</w:t>
      </w:r>
      <w:bookmarkEnd w:id="1"/>
      <w:r>
        <w:rPr>
          <w:rFonts w:hint="eastAsia" w:ascii="仿宋_GB2312" w:hAnsi="微软雅黑" w:eastAsia="仿宋_GB2312"/>
          <w:color w:val="000000"/>
          <w:sz w:val="32"/>
          <w:szCs w:val="32"/>
        </w:rPr>
        <w:t>。需追缴人数7人，金额151834.35元，现已全部追回，追缴率100％。</w:t>
      </w:r>
      <w:bookmarkEnd w:id="0"/>
      <w:r>
        <w:rPr>
          <w:rFonts w:hint="eastAsia" w:ascii="仿宋_GB2312" w:hAnsi="微软雅黑" w:eastAsia="仿宋_GB2312"/>
          <w:color w:val="000000"/>
          <w:sz w:val="32"/>
          <w:szCs w:val="32"/>
        </w:rPr>
        <w:t>同时，加大基金欠费追缴力度，及时对欠费企业进行跟踪调查，积极追缴</w:t>
      </w:r>
      <w:r>
        <w:rPr>
          <w:rFonts w:hint="eastAsia" w:ascii="仿宋_GB2312" w:hAnsi="微软雅黑" w:eastAsia="仿宋_GB2312"/>
          <w:color w:val="000000"/>
          <w:sz w:val="32"/>
          <w:szCs w:val="32"/>
          <w:lang w:eastAsia="zh-CN"/>
        </w:rPr>
        <w:t>。</w:t>
      </w:r>
    </w:p>
    <w:p>
      <w:pPr>
        <w:numPr>
          <w:ilvl w:val="0"/>
          <w:numId w:val="1"/>
        </w:numPr>
        <w:topLinePunct/>
        <w:ind w:left="-2" w:leftChars="0" w:firstLine="594" w:firstLineChars="0"/>
        <w:rPr>
          <w:rFonts w:hint="eastAsia" w:ascii="仿宋_GB2312"/>
          <w:szCs w:val="32"/>
        </w:rPr>
      </w:pPr>
      <w:r>
        <w:rPr>
          <w:rFonts w:hint="eastAsia" w:ascii="仿宋_GB2312"/>
          <w:szCs w:val="32"/>
        </w:rPr>
        <w:t>部门整体支出或项目实施情况分析，主要包括资金到位、资金使用、资金管理、项目组织和项目管理情况分析等。</w:t>
      </w:r>
    </w:p>
    <w:p>
      <w:pPr>
        <w:spacing w:line="660" w:lineRule="exact"/>
        <w:ind w:firstLine="594" w:firstLineChars="200"/>
        <w:rPr>
          <w:rFonts w:ascii="仿宋_GB2312"/>
          <w:szCs w:val="32"/>
        </w:rPr>
      </w:pPr>
      <w:r>
        <w:rPr>
          <w:rFonts w:hint="eastAsia" w:ascii="仿宋_GB2312"/>
          <w:szCs w:val="32"/>
        </w:rPr>
        <w:t>项目资金使用情况分析</w:t>
      </w:r>
    </w:p>
    <w:p>
      <w:pPr>
        <w:spacing w:line="660" w:lineRule="exact"/>
        <w:ind w:firstLine="594" w:firstLineChars="200"/>
        <w:rPr>
          <w:rFonts w:hint="default"/>
          <w:lang w:val="en-US" w:eastAsia="zh-CN"/>
        </w:rPr>
      </w:pPr>
      <w:r>
        <w:rPr>
          <w:rFonts w:hint="eastAsia" w:ascii="仿宋_GB2312"/>
          <w:szCs w:val="32"/>
        </w:rPr>
        <w:t>20</w:t>
      </w:r>
      <w:r>
        <w:rPr>
          <w:rFonts w:ascii="仿宋_GB2312"/>
          <w:szCs w:val="32"/>
        </w:rPr>
        <w:t>2</w:t>
      </w:r>
      <w:r>
        <w:rPr>
          <w:rFonts w:hint="eastAsia" w:ascii="仿宋_GB2312"/>
          <w:szCs w:val="32"/>
          <w:lang w:val="en-US" w:eastAsia="zh-CN"/>
        </w:rPr>
        <w:t>2</w:t>
      </w:r>
      <w:r>
        <w:rPr>
          <w:rFonts w:hint="eastAsia" w:ascii="仿宋_GB2312"/>
          <w:szCs w:val="32"/>
        </w:rPr>
        <w:t>年</w:t>
      </w:r>
      <w:r>
        <w:rPr>
          <w:rFonts w:hint="eastAsia" w:ascii="仿宋_GB2312"/>
          <w:szCs w:val="32"/>
          <w:lang w:val="en-US" w:eastAsia="zh-CN"/>
        </w:rPr>
        <w:t>项目</w:t>
      </w:r>
      <w:r>
        <w:rPr>
          <w:rFonts w:hint="eastAsia" w:ascii="仿宋_GB2312"/>
          <w:szCs w:val="32"/>
        </w:rPr>
        <w:t>资金总投入</w:t>
      </w:r>
      <w:r>
        <w:rPr>
          <w:rFonts w:hint="eastAsia" w:ascii="仿宋_GB2312"/>
          <w:szCs w:val="32"/>
          <w:lang w:val="en-US" w:eastAsia="zh-CN"/>
        </w:rPr>
        <w:t>236.09</w:t>
      </w:r>
      <w:r>
        <w:rPr>
          <w:rFonts w:hint="eastAsia" w:ascii="仿宋_GB2312"/>
          <w:szCs w:val="32"/>
        </w:rPr>
        <w:t>万元，其中：</w:t>
      </w:r>
      <w:r>
        <w:rPr>
          <w:rFonts w:hint="eastAsia" w:ascii="仿宋_GB2312" w:hAnsi="仿宋_GB2312" w:cs="仿宋_GB2312"/>
          <w:szCs w:val="32"/>
        </w:rPr>
        <w:t>离退休人员活动专项经费</w:t>
      </w:r>
      <w:r>
        <w:rPr>
          <w:rFonts w:hint="eastAsia" w:ascii="仿宋_GB2312" w:hAnsi="仿宋_GB2312" w:cs="仿宋_GB2312"/>
          <w:szCs w:val="32"/>
          <w:lang w:val="en-US" w:eastAsia="zh-CN"/>
        </w:rPr>
        <w:t>0.015</w:t>
      </w:r>
      <w:r>
        <w:rPr>
          <w:rFonts w:hint="eastAsia" w:ascii="仿宋_GB2312" w:hAnsi="仿宋_GB2312" w:cs="仿宋_GB2312"/>
          <w:szCs w:val="32"/>
        </w:rPr>
        <w:t>万元</w:t>
      </w:r>
      <w:r>
        <w:rPr>
          <w:rFonts w:hint="eastAsia" w:ascii="仿宋_GB2312" w:hAnsi="仿宋_GB2312" w:cs="仿宋_GB2312"/>
          <w:szCs w:val="32"/>
          <w:lang w:eastAsia="zh-CN"/>
        </w:rPr>
        <w:t>；</w:t>
      </w:r>
      <w:r>
        <w:rPr>
          <w:rFonts w:hint="eastAsia" w:ascii="仿宋_GB2312" w:hAnsi="仿宋_GB2312" w:cs="仿宋_GB2312"/>
          <w:szCs w:val="32"/>
          <w:lang w:val="en-US" w:eastAsia="zh-CN"/>
        </w:rPr>
        <w:t>发放</w:t>
      </w:r>
      <w:r>
        <w:rPr>
          <w:rFonts w:hint="eastAsia" w:ascii="仿宋_GB2312" w:hAnsi="仿宋_GB2312" w:cs="仿宋_GB2312"/>
          <w:szCs w:val="32"/>
        </w:rPr>
        <w:t>企业退休人员独子费专项资金</w:t>
      </w:r>
      <w:r>
        <w:rPr>
          <w:rFonts w:hint="eastAsia" w:ascii="仿宋_GB2312" w:hAnsi="仿宋_GB2312" w:cs="仿宋_GB2312"/>
          <w:szCs w:val="32"/>
          <w:lang w:val="en-US" w:eastAsia="zh-CN"/>
        </w:rPr>
        <w:t>200.13</w:t>
      </w:r>
      <w:r>
        <w:rPr>
          <w:rFonts w:hint="eastAsia" w:ascii="仿宋_GB2312" w:hAnsi="仿宋_GB2312" w:cs="仿宋_GB2312"/>
          <w:szCs w:val="32"/>
        </w:rPr>
        <w:t>万元</w:t>
      </w:r>
      <w:r>
        <w:rPr>
          <w:rFonts w:hint="eastAsia" w:ascii="仿宋_GB2312" w:hAnsi="仿宋_GB2312" w:cs="仿宋_GB2312"/>
          <w:szCs w:val="32"/>
          <w:lang w:eastAsia="zh-CN"/>
        </w:rPr>
        <w:t>；</w:t>
      </w:r>
      <w:r>
        <w:rPr>
          <w:rFonts w:hint="eastAsia" w:ascii="仿宋_GB2312" w:hAnsi="仿宋_GB2312" w:cs="仿宋_GB2312"/>
          <w:szCs w:val="32"/>
        </w:rPr>
        <w:t>高新区事务划转经费</w:t>
      </w:r>
      <w:r>
        <w:rPr>
          <w:rFonts w:hint="eastAsia" w:ascii="仿宋_GB2312" w:hAnsi="仿宋_GB2312" w:cs="仿宋_GB2312"/>
          <w:szCs w:val="32"/>
          <w:lang w:val="en-US" w:eastAsia="zh-CN"/>
        </w:rPr>
        <w:t>16.66</w:t>
      </w:r>
      <w:r>
        <w:rPr>
          <w:rFonts w:ascii="仿宋_GB2312" w:hAnsi="仿宋_GB2312" w:cs="仿宋_GB2312"/>
          <w:szCs w:val="32"/>
        </w:rPr>
        <w:t>万</w:t>
      </w:r>
      <w:r>
        <w:rPr>
          <w:rFonts w:hint="eastAsia" w:ascii="仿宋_GB2312" w:hAnsi="仿宋_GB2312" w:cs="仿宋_GB2312"/>
          <w:szCs w:val="32"/>
          <w:lang w:val="en-US" w:eastAsia="zh-CN"/>
        </w:rPr>
        <w:t>元；</w:t>
      </w:r>
      <w:r>
        <w:rPr>
          <w:rFonts w:hint="eastAsia" w:ascii="仿宋_GB2312" w:hAnsi="仿宋_GB2312" w:cs="仿宋_GB2312"/>
          <w:szCs w:val="32"/>
        </w:rPr>
        <w:t>度假区事务划转经费</w:t>
      </w:r>
      <w:r>
        <w:rPr>
          <w:rFonts w:hint="eastAsia" w:ascii="仿宋_GB2312" w:hAnsi="仿宋_GB2312" w:cs="仿宋_GB2312"/>
          <w:szCs w:val="32"/>
          <w:lang w:val="en-US" w:eastAsia="zh-CN"/>
        </w:rPr>
        <w:t>19.28</w:t>
      </w:r>
      <w:r>
        <w:rPr>
          <w:rFonts w:ascii="仿宋_GB2312" w:hAnsi="仿宋_GB2312" w:cs="仿宋_GB2312"/>
          <w:szCs w:val="32"/>
        </w:rPr>
        <w:t>万</w:t>
      </w:r>
      <w:r>
        <w:rPr>
          <w:rFonts w:hint="eastAsia" w:ascii="仿宋_GB2312" w:hAnsi="仿宋_GB2312" w:cs="仿宋_GB2312"/>
          <w:szCs w:val="32"/>
          <w:lang w:val="en-US" w:eastAsia="zh-CN"/>
        </w:rPr>
        <w:t>元。</w:t>
      </w:r>
    </w:p>
    <w:p>
      <w:pPr>
        <w:topLinePunct/>
        <w:ind w:firstLine="594" w:firstLineChars="200"/>
        <w:jc w:val="left"/>
        <w:rPr>
          <w:rFonts w:hint="default" w:eastAsia="楷体_GB2312"/>
          <w:lang w:val="en-US" w:eastAsia="zh-CN"/>
        </w:rPr>
      </w:pPr>
      <w:r>
        <w:rPr>
          <w:rFonts w:hint="eastAsia" w:ascii="仿宋_GB2312"/>
        </w:rPr>
        <w:t>202</w:t>
      </w:r>
      <w:r>
        <w:rPr>
          <w:rFonts w:hint="eastAsia" w:ascii="仿宋_GB2312"/>
          <w:lang w:val="en-US" w:eastAsia="zh-CN"/>
        </w:rPr>
        <w:t>2</w:t>
      </w:r>
      <w:r>
        <w:rPr>
          <w:rFonts w:hint="eastAsia" w:ascii="仿宋_GB2312"/>
        </w:rPr>
        <w:t>年度呈贡区社保局各</w:t>
      </w:r>
      <w:r>
        <w:rPr>
          <w:rFonts w:hint="eastAsia" w:ascii="仿宋_GB2312"/>
          <w:lang w:val="en-US" w:eastAsia="zh-CN"/>
        </w:rPr>
        <w:t>项</w:t>
      </w:r>
      <w:r>
        <w:rPr>
          <w:rFonts w:hint="eastAsia" w:ascii="仿宋_GB2312"/>
        </w:rPr>
        <w:t>资金到位及时，资金使用均按照各相关制度要求严格列支。</w:t>
      </w:r>
      <w:r>
        <w:rPr>
          <w:rFonts w:hint="eastAsia"/>
          <w:lang w:val="en-US" w:eastAsia="zh-CN"/>
        </w:rPr>
        <w:t xml:space="preserve">   </w:t>
      </w:r>
    </w:p>
    <w:p>
      <w:pPr>
        <w:topLinePunct/>
        <w:ind w:firstLine="594" w:firstLineChars="200"/>
        <w:rPr>
          <w:rFonts w:ascii="黑体" w:eastAsia="黑体"/>
          <w:szCs w:val="32"/>
        </w:rPr>
      </w:pPr>
      <w:r>
        <w:rPr>
          <w:rFonts w:hint="eastAsia" w:ascii="黑体" w:eastAsia="黑体"/>
          <w:szCs w:val="32"/>
        </w:rPr>
        <w:t>二、绩效评价工作情况</w:t>
      </w:r>
    </w:p>
    <w:p>
      <w:pPr>
        <w:spacing w:line="660" w:lineRule="exact"/>
        <w:ind w:firstLine="594" w:firstLineChars="200"/>
        <w:rPr>
          <w:rFonts w:hint="eastAsia" w:ascii="仿宋_GB2312"/>
          <w:szCs w:val="32"/>
          <w:lang w:val="en-US" w:eastAsia="zh-CN"/>
        </w:rPr>
      </w:pPr>
      <w:r>
        <w:rPr>
          <w:rFonts w:hint="eastAsia" w:ascii="仿宋_GB2312"/>
          <w:szCs w:val="32"/>
          <w:lang w:val="en-US" w:eastAsia="zh-CN"/>
        </w:rPr>
        <w:t>（一）绩效评价目的。</w:t>
      </w:r>
    </w:p>
    <w:p>
      <w:pPr>
        <w:spacing w:line="660" w:lineRule="exact"/>
        <w:ind w:firstLine="594" w:firstLineChars="200"/>
        <w:rPr>
          <w:rFonts w:hint="eastAsia" w:ascii="仿宋_GB2312"/>
          <w:szCs w:val="32"/>
          <w:lang w:val="en-US" w:eastAsia="zh-CN"/>
        </w:rPr>
      </w:pPr>
      <w:r>
        <w:rPr>
          <w:rFonts w:hint="eastAsia" w:ascii="仿宋_GB2312"/>
          <w:szCs w:val="32"/>
          <w:lang w:val="en-US" w:eastAsia="zh-CN"/>
        </w:rPr>
        <w:t>呈贡区社保局开展2022年绩效评价，目的在于落实区委、区政府和区财政局关于绩效评价工作的相关要求，落实“用钱必问效，无效必问责”的总体要求，对于2022年开支的绩效进行细化，确保所有开支均符合预算的支出范围和效果。</w:t>
      </w:r>
    </w:p>
    <w:p>
      <w:pPr>
        <w:numPr>
          <w:ilvl w:val="0"/>
          <w:numId w:val="2"/>
        </w:numPr>
        <w:spacing w:line="660" w:lineRule="exact"/>
        <w:ind w:firstLine="594" w:firstLineChars="200"/>
        <w:rPr>
          <w:rFonts w:hint="eastAsia" w:ascii="仿宋_GB2312"/>
          <w:szCs w:val="32"/>
          <w:lang w:val="en-US" w:eastAsia="zh-CN"/>
        </w:rPr>
      </w:pPr>
      <w:r>
        <w:rPr>
          <w:rFonts w:hint="eastAsia" w:ascii="仿宋_GB2312"/>
          <w:szCs w:val="32"/>
          <w:lang w:val="en-US" w:eastAsia="zh-CN"/>
        </w:rPr>
        <w:t>绩效评价工作过程，主要包括前期准备、组织实施和分析评价等内容。</w:t>
      </w:r>
    </w:p>
    <w:p>
      <w:pPr>
        <w:pStyle w:val="3"/>
        <w:numPr>
          <w:ilvl w:val="0"/>
          <w:numId w:val="0"/>
        </w:numPr>
        <w:ind w:firstLine="594" w:firstLineChars="200"/>
        <w:rPr>
          <w:rFonts w:hint="eastAsia" w:ascii="仿宋_GB2312" w:eastAsia="仿宋_GB2312" w:hAnsiTheme="minorHAnsi" w:cstheme="minorBidi"/>
          <w:bCs w:val="0"/>
          <w:kern w:val="2"/>
          <w:sz w:val="32"/>
          <w:szCs w:val="32"/>
          <w:lang w:val="en-US" w:eastAsia="zh-CN" w:bidi="ar-SA"/>
        </w:rPr>
      </w:pPr>
      <w:r>
        <w:rPr>
          <w:rFonts w:hint="eastAsia" w:ascii="仿宋_GB2312" w:eastAsia="仿宋_GB2312" w:hAnsiTheme="minorHAnsi" w:cstheme="minorBidi"/>
          <w:bCs w:val="0"/>
          <w:kern w:val="2"/>
          <w:sz w:val="32"/>
          <w:szCs w:val="32"/>
          <w:lang w:val="en-US" w:eastAsia="zh-CN" w:bidi="ar-SA"/>
        </w:rPr>
        <w:t>呈贡区社保局延续以前年度的绩效评价领导小组，分别于2022年4月10日和6月30日进行绩效评价会议。对于各项目的实施落实到各科室部门，明确开展各个项目后，所应该取得的效果。 领导小组全体成员共同讨论整体评分表，并逐项进行梳理，结合实际情况客观打分。</w:t>
      </w:r>
    </w:p>
    <w:p>
      <w:pPr>
        <w:keepNext w:val="0"/>
        <w:keepLines w:val="0"/>
        <w:pageBreakBefore w:val="0"/>
        <w:widowControl w:val="0"/>
        <w:kinsoku/>
        <w:wordWrap/>
        <w:topLinePunct/>
        <w:autoSpaceDE/>
        <w:autoSpaceDN/>
        <w:bidi w:val="0"/>
        <w:adjustRightInd/>
        <w:snapToGrid/>
        <w:spacing w:line="360" w:lineRule="auto"/>
        <w:ind w:firstLine="594" w:firstLineChars="200"/>
        <w:textAlignment w:val="auto"/>
        <w:rPr>
          <w:rFonts w:ascii="黑体" w:eastAsia="黑体"/>
          <w:szCs w:val="32"/>
        </w:rPr>
      </w:pPr>
      <w:r>
        <w:rPr>
          <w:rFonts w:hint="eastAsia" w:ascii="黑体" w:eastAsia="黑体"/>
          <w:szCs w:val="32"/>
        </w:rPr>
        <w:t>三、主要绩效及评价结论</w:t>
      </w:r>
    </w:p>
    <w:p>
      <w:pPr>
        <w:topLinePunct/>
        <w:ind w:firstLine="594" w:firstLineChars="200"/>
        <w:jc w:val="both"/>
        <w:rPr>
          <w:rFonts w:hint="eastAsia" w:ascii="仿宋_GB2312"/>
          <w:szCs w:val="32"/>
        </w:rPr>
      </w:pPr>
      <w:r>
        <w:rPr>
          <w:rFonts w:ascii="仿宋_GB2312"/>
          <w:szCs w:val="32"/>
        </w:rPr>
        <w:t>1</w:t>
      </w:r>
      <w:r>
        <w:rPr>
          <w:rFonts w:hint="eastAsia" w:ascii="仿宋_GB2312"/>
          <w:szCs w:val="32"/>
        </w:rPr>
        <w:t>、经济性分析，主要包括成本（预算）控制情况和成本（预算）节约情况。</w:t>
      </w:r>
    </w:p>
    <w:p>
      <w:pPr>
        <w:pStyle w:val="3"/>
        <w:rPr>
          <w:rFonts w:hint="eastAsia" w:ascii="仿宋_GB2312" w:eastAsia="仿宋_GB2312" w:hAnsiTheme="minorHAnsi" w:cstheme="minorBidi"/>
          <w:bCs w:val="0"/>
          <w:kern w:val="2"/>
          <w:sz w:val="32"/>
          <w:szCs w:val="32"/>
          <w:lang w:val="en-US" w:eastAsia="zh-CN" w:bidi="ar-SA"/>
        </w:rPr>
      </w:pPr>
      <w:r>
        <w:rPr>
          <w:rFonts w:hint="eastAsia" w:ascii="仿宋_GB2312" w:eastAsia="仿宋_GB2312" w:hAnsiTheme="minorHAnsi" w:cstheme="minorBidi"/>
          <w:bCs w:val="0"/>
          <w:kern w:val="2"/>
          <w:sz w:val="32"/>
          <w:szCs w:val="32"/>
          <w:lang w:val="en-US" w:eastAsia="zh-CN" w:bidi="ar-SA"/>
        </w:rPr>
        <w:t>呈贡区社保局2022年，对于发放的金额，严格审批，杜绝了违规发放和超范围发放的情况。</w:t>
      </w:r>
    </w:p>
    <w:p>
      <w:pPr>
        <w:numPr>
          <w:ilvl w:val="0"/>
          <w:numId w:val="3"/>
        </w:numPr>
        <w:topLinePunct/>
        <w:ind w:firstLine="594" w:firstLineChars="200"/>
        <w:jc w:val="both"/>
        <w:rPr>
          <w:rFonts w:hint="eastAsia" w:ascii="仿宋_GB2312"/>
          <w:szCs w:val="32"/>
        </w:rPr>
      </w:pPr>
      <w:r>
        <w:rPr>
          <w:rFonts w:hint="eastAsia" w:ascii="仿宋_GB2312"/>
          <w:szCs w:val="32"/>
        </w:rPr>
        <w:t>效率性分析，主要包括实施进度和完成质量。</w:t>
      </w:r>
    </w:p>
    <w:p>
      <w:pPr>
        <w:topLinePunct/>
        <w:ind w:firstLine="594" w:firstLineChars="200"/>
        <w:rPr>
          <w:rFonts w:hint="default" w:eastAsia="楷体_GB2312"/>
          <w:lang w:val="en-US" w:eastAsia="zh-CN"/>
        </w:rPr>
      </w:pPr>
      <w:r>
        <w:rPr>
          <w:rFonts w:hint="eastAsia"/>
          <w:lang w:val="en-US" w:eastAsia="zh-CN"/>
        </w:rPr>
        <w:t xml:space="preserve"> 2022年区社保局</w:t>
      </w:r>
      <w:r>
        <w:rPr>
          <w:rFonts w:hint="eastAsia" w:ascii="仿宋_GB2312" w:hAnsi="宋体"/>
        </w:rPr>
        <w:t>各种收支工作，都严格按照业务期限，按时足额进行征缴和发放工作，保障离退休人员按时足额领取相应离退休待遇。</w:t>
      </w:r>
    </w:p>
    <w:p>
      <w:pPr>
        <w:topLinePunct/>
        <w:ind w:firstLine="594" w:firstLineChars="200"/>
        <w:jc w:val="both"/>
        <w:rPr>
          <w:rFonts w:ascii="仿宋_GB2312"/>
          <w:szCs w:val="32"/>
        </w:rPr>
      </w:pPr>
      <w:r>
        <w:rPr>
          <w:rFonts w:ascii="仿宋_GB2312"/>
          <w:szCs w:val="32"/>
        </w:rPr>
        <w:t>3</w:t>
      </w:r>
      <w:r>
        <w:rPr>
          <w:rFonts w:hint="eastAsia" w:ascii="仿宋_GB2312"/>
          <w:szCs w:val="32"/>
        </w:rPr>
        <w:t>、效益性分析，主要包括预期目标完成程度和对经济和社会的影响等。</w:t>
      </w:r>
    </w:p>
    <w:p>
      <w:pPr>
        <w:ind w:firstLine="594" w:firstLineChars="200"/>
      </w:pPr>
      <w:r>
        <w:rPr>
          <w:rFonts w:hint="eastAsia" w:ascii="仿宋_GB2312"/>
        </w:rPr>
        <w:t>2</w:t>
      </w:r>
      <w:r>
        <w:rPr>
          <w:rFonts w:hint="eastAsia" w:ascii="仿宋_GB2312" w:hAnsi="黑体"/>
        </w:rPr>
        <w:t>02</w:t>
      </w:r>
      <w:r>
        <w:rPr>
          <w:rFonts w:hint="eastAsia" w:ascii="仿宋_GB2312" w:hAnsi="黑体"/>
          <w:lang w:val="en-US" w:eastAsia="zh-CN"/>
        </w:rPr>
        <w:t>2</w:t>
      </w:r>
      <w:r>
        <w:rPr>
          <w:rFonts w:hint="eastAsia" w:ascii="仿宋_GB2312" w:hAnsi="黑体"/>
        </w:rPr>
        <w:t>年呈贡区社保局征收方面做到按时应收尽收，有利于提高社会保障制度的推广和落实；严格执行疫情期间的各项政策，比如减、免、缓征各险种保费等。各类待遇支付方面，按照各审批制度严格把关，对于符合支付的按时足额支付，保障了各类待遇领取人员的利益，促进社会稳定。</w:t>
      </w:r>
    </w:p>
    <w:p>
      <w:pPr>
        <w:numPr>
          <w:ilvl w:val="0"/>
          <w:numId w:val="4"/>
        </w:numPr>
        <w:topLinePunct/>
        <w:ind w:firstLine="594" w:firstLineChars="200"/>
        <w:rPr>
          <w:rFonts w:hint="eastAsia" w:ascii="黑体" w:eastAsia="黑体"/>
          <w:szCs w:val="32"/>
        </w:rPr>
      </w:pPr>
      <w:r>
        <w:rPr>
          <w:rFonts w:hint="eastAsia" w:ascii="黑体" w:eastAsia="黑体"/>
          <w:szCs w:val="32"/>
        </w:rPr>
        <w:t>存在的问题</w:t>
      </w:r>
    </w:p>
    <w:p>
      <w:pPr>
        <w:spacing w:line="560" w:lineRule="exact"/>
        <w:ind w:firstLine="594" w:firstLineChars="200"/>
        <w:rPr>
          <w:rFonts w:hint="eastAsia" w:ascii="仿宋_GB2312" w:eastAsia="仿宋_GB2312" w:hAnsiTheme="minorHAnsi" w:cstheme="minorBidi"/>
          <w:bCs w:val="0"/>
          <w:kern w:val="2"/>
          <w:sz w:val="32"/>
          <w:szCs w:val="32"/>
          <w:lang w:val="en-US" w:eastAsia="zh-CN" w:bidi="ar-SA"/>
        </w:rPr>
      </w:pPr>
      <w:r>
        <w:rPr>
          <w:rFonts w:hint="eastAsia" w:ascii="仿宋_GB2312" w:eastAsia="仿宋_GB2312" w:hAnsiTheme="minorHAnsi" w:cstheme="minorBidi"/>
          <w:bCs w:val="0"/>
          <w:kern w:val="2"/>
          <w:sz w:val="32"/>
          <w:szCs w:val="32"/>
          <w:lang w:val="en-US" w:eastAsia="zh-CN" w:bidi="ar-SA"/>
        </w:rPr>
        <w:t>我局在开展自检自查后，总结出在工作中，还存在不足：</w:t>
      </w:r>
    </w:p>
    <w:p>
      <w:pPr>
        <w:keepNext w:val="0"/>
        <w:keepLines w:val="0"/>
        <w:pageBreakBefore w:val="0"/>
        <w:kinsoku/>
        <w:wordWrap/>
        <w:overflowPunct/>
        <w:topLinePunct w:val="0"/>
        <w:autoSpaceDE/>
        <w:autoSpaceDN/>
        <w:bidi w:val="0"/>
        <w:spacing w:line="560" w:lineRule="exact"/>
        <w:ind w:firstLine="594"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rPr>
        <w:t>一是</w:t>
      </w:r>
      <w:r>
        <w:rPr>
          <w:rFonts w:hint="eastAsia" w:ascii="仿宋_GB2312" w:hAnsi="仿宋_GB2312" w:eastAsia="仿宋_GB2312" w:cs="仿宋_GB2312"/>
          <w:color w:val="auto"/>
          <w:sz w:val="32"/>
          <w:szCs w:val="32"/>
          <w:lang w:val="en-US" w:eastAsia="zh-CN"/>
        </w:rPr>
        <w:t>社保经办网点还没有布局到街道及社区，社区灵活就业人员不能就近办理灵活就业参保缴费金和领取待遇资格认证业务。</w:t>
      </w:r>
    </w:p>
    <w:p>
      <w:pPr>
        <w:keepNext w:val="0"/>
        <w:keepLines w:val="0"/>
        <w:pageBreakBefore w:val="0"/>
        <w:kinsoku/>
        <w:wordWrap/>
        <w:overflowPunct/>
        <w:topLinePunct w:val="0"/>
        <w:autoSpaceDE/>
        <w:autoSpaceDN/>
        <w:bidi w:val="0"/>
        <w:spacing w:line="560" w:lineRule="exact"/>
        <w:ind w:firstLine="59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rPr>
        <w:t>是</w:t>
      </w:r>
      <w:r>
        <w:rPr>
          <w:rFonts w:hint="eastAsia" w:ascii="仿宋_GB2312" w:hAnsi="仿宋_GB2312" w:eastAsia="仿宋_GB2312" w:cs="仿宋_GB2312"/>
          <w:color w:val="auto"/>
          <w:sz w:val="32"/>
          <w:szCs w:val="32"/>
          <w:lang w:eastAsia="zh-CN"/>
        </w:rPr>
        <w:t>呈贡区社保局</w:t>
      </w:r>
      <w:r>
        <w:rPr>
          <w:rFonts w:hint="eastAsia" w:ascii="仿宋_GB2312" w:hAnsi="仿宋_GB2312" w:eastAsia="仿宋_GB2312" w:cs="仿宋_GB2312"/>
          <w:color w:val="auto"/>
          <w:sz w:val="32"/>
          <w:szCs w:val="32"/>
        </w:rPr>
        <w:t>深入企业、社区宣传社会保险的政策和法规，但由于部分企业法人过分看重企业经济效益，忽视企业的社会效益和责任，社会保险意识淡薄，致使</w:t>
      </w:r>
      <w:r>
        <w:rPr>
          <w:rFonts w:hint="eastAsia" w:ascii="仿宋_GB2312" w:hAnsi="仿宋_GB2312" w:eastAsia="仿宋_GB2312" w:cs="仿宋_GB2312"/>
          <w:color w:val="auto"/>
          <w:sz w:val="32"/>
          <w:szCs w:val="32"/>
          <w:lang w:eastAsia="zh-CN"/>
        </w:rPr>
        <w:t>呈贡区社保局</w:t>
      </w:r>
      <w:r>
        <w:rPr>
          <w:rFonts w:hint="eastAsia" w:ascii="仿宋_GB2312" w:hAnsi="仿宋_GB2312" w:eastAsia="仿宋_GB2312" w:cs="仿宋_GB2312"/>
          <w:color w:val="auto"/>
          <w:sz w:val="32"/>
          <w:szCs w:val="32"/>
        </w:rPr>
        <w:t>的社会保险的参保覆盖面还不够，基金承担风险的能力还不够强。</w:t>
      </w:r>
    </w:p>
    <w:p>
      <w:pPr>
        <w:pStyle w:val="3"/>
        <w:numPr>
          <w:ilvl w:val="0"/>
          <w:numId w:val="0"/>
        </w:numPr>
        <w:ind w:firstLine="594" w:firstLineChars="200"/>
        <w:rPr>
          <w:rFonts w:hint="eastAsia" w:ascii="黑体" w:eastAsia="黑体"/>
          <w:szCs w:val="32"/>
        </w:rPr>
      </w:pPr>
      <w:r>
        <w:rPr>
          <w:rFonts w:hint="eastAsia" w:ascii="仿宋_GB2312" w:hAnsi="仿宋_GB2312" w:eastAsia="仿宋_GB2312" w:cs="仿宋_GB2312"/>
          <w:b/>
          <w:color w:val="auto"/>
          <w:sz w:val="32"/>
          <w:szCs w:val="32"/>
          <w:lang w:val="en-US" w:eastAsia="zh-CN"/>
        </w:rPr>
        <w:t>三</w:t>
      </w:r>
      <w:r>
        <w:rPr>
          <w:rFonts w:hint="eastAsia" w:ascii="仿宋_GB2312" w:hAnsi="仿宋_GB2312" w:eastAsia="仿宋_GB2312" w:cs="仿宋_GB2312"/>
          <w:b/>
          <w:color w:val="auto"/>
          <w:sz w:val="32"/>
          <w:szCs w:val="32"/>
        </w:rPr>
        <w:t>是</w:t>
      </w:r>
      <w:r>
        <w:rPr>
          <w:rFonts w:hint="eastAsia" w:ascii="仿宋_GB2312" w:hAnsi="仿宋_GB2312" w:eastAsia="仿宋_GB2312" w:cs="仿宋_GB2312"/>
          <w:color w:val="auto"/>
          <w:sz w:val="32"/>
          <w:szCs w:val="32"/>
        </w:rPr>
        <w:t>有的参保人员对线上经办社保业务经办功能不熟悉，网上社保业务经办不熟练和习惯于传统的窗口办理，下一步，加大推广宣传，促进业务经办由线下到线上的经办模式转变。</w:t>
      </w:r>
    </w:p>
    <w:p>
      <w:pPr>
        <w:numPr>
          <w:ilvl w:val="0"/>
          <w:numId w:val="4"/>
        </w:numPr>
        <w:topLinePunct/>
        <w:ind w:left="0" w:leftChars="0" w:firstLine="594" w:firstLineChars="200"/>
        <w:rPr>
          <w:rFonts w:hint="eastAsia" w:ascii="黑体" w:eastAsia="黑体"/>
          <w:szCs w:val="32"/>
        </w:rPr>
      </w:pPr>
      <w:r>
        <w:rPr>
          <w:rFonts w:hint="eastAsia" w:ascii="黑体" w:eastAsia="黑体"/>
          <w:szCs w:val="32"/>
        </w:rPr>
        <w:t>有关建议</w:t>
      </w:r>
    </w:p>
    <w:p>
      <w:pPr>
        <w:keepNext w:val="0"/>
        <w:keepLines w:val="0"/>
        <w:pageBreakBefore w:val="0"/>
        <w:kinsoku/>
        <w:wordWrap/>
        <w:overflowPunct/>
        <w:topLinePunct w:val="0"/>
        <w:autoSpaceDE/>
        <w:autoSpaceDN/>
        <w:bidi w:val="0"/>
        <w:spacing w:line="560" w:lineRule="exact"/>
        <w:ind w:firstLine="594" w:firstLineChars="200"/>
        <w:textAlignment w:val="auto"/>
        <w:rPr>
          <w:rFonts w:hint="eastAsia" w:ascii="仿宋_GB2312" w:eastAsia="仿宋_GB2312" w:hAnsiTheme="minorHAnsi" w:cstheme="minorBidi"/>
          <w:bCs w:val="0"/>
          <w:kern w:val="2"/>
          <w:sz w:val="32"/>
          <w:szCs w:val="32"/>
          <w:lang w:val="en-US" w:eastAsia="zh-CN" w:bidi="ar-SA"/>
        </w:rPr>
      </w:pPr>
      <w:r>
        <w:rPr>
          <w:rFonts w:hint="eastAsia" w:ascii="仿宋_GB2312" w:eastAsia="仿宋_GB2312" w:hAnsiTheme="minorHAnsi" w:cstheme="minorBidi"/>
          <w:bCs w:val="0"/>
          <w:kern w:val="2"/>
          <w:sz w:val="32"/>
          <w:szCs w:val="32"/>
          <w:lang w:val="en-US" w:eastAsia="zh-CN" w:bidi="ar-SA"/>
        </w:rPr>
        <w:t>2023年，呈贡区社保局干部职工凝心聚力，做到工作早计划，早安排，立足现在，谋划长远，以饱满的工作热情，积极进取的工作态度，扎实推进社保各项工作，使社保工作再上一个新的台阶。</w:t>
      </w:r>
    </w:p>
    <w:p>
      <w:pPr>
        <w:keepNext w:val="0"/>
        <w:keepLines w:val="0"/>
        <w:pageBreakBefore w:val="0"/>
        <w:kinsoku/>
        <w:wordWrap/>
        <w:overflowPunct/>
        <w:topLinePunct w:val="0"/>
        <w:autoSpaceDE/>
        <w:autoSpaceDN/>
        <w:bidi w:val="0"/>
        <w:spacing w:line="560" w:lineRule="exact"/>
        <w:ind w:firstLine="594" w:firstLineChars="200"/>
        <w:textAlignment w:val="auto"/>
        <w:rPr>
          <w:rFonts w:hint="eastAsia" w:ascii="仿宋_GB2312" w:eastAsia="仿宋_GB2312" w:hAnsiTheme="minorHAnsi" w:cstheme="minorBidi"/>
          <w:bCs w:val="0"/>
          <w:kern w:val="2"/>
          <w:sz w:val="32"/>
          <w:szCs w:val="32"/>
          <w:lang w:val="en-US" w:eastAsia="zh-CN" w:bidi="ar-SA"/>
        </w:rPr>
      </w:pPr>
      <w:r>
        <w:rPr>
          <w:rFonts w:hint="eastAsia" w:ascii="仿宋_GB2312" w:eastAsia="仿宋_GB2312" w:hAnsiTheme="minorHAnsi" w:cstheme="minorBidi"/>
          <w:bCs w:val="0"/>
          <w:kern w:val="2"/>
          <w:sz w:val="32"/>
          <w:szCs w:val="32"/>
          <w:lang w:val="en-US" w:eastAsia="zh-CN" w:bidi="ar-SA"/>
        </w:rPr>
        <w:t>（一）做好社会保险政策宣传和工伤预防宣传工作。</w:t>
      </w:r>
    </w:p>
    <w:p>
      <w:pPr>
        <w:keepNext w:val="0"/>
        <w:keepLines w:val="0"/>
        <w:pageBreakBefore w:val="0"/>
        <w:kinsoku/>
        <w:wordWrap/>
        <w:overflowPunct/>
        <w:topLinePunct w:val="0"/>
        <w:autoSpaceDE/>
        <w:autoSpaceDN/>
        <w:bidi w:val="0"/>
        <w:spacing w:line="560" w:lineRule="exact"/>
        <w:ind w:firstLine="624" w:firstLineChars="210"/>
        <w:textAlignment w:val="auto"/>
        <w:rPr>
          <w:rFonts w:hint="eastAsia" w:ascii="仿宋_GB2312" w:eastAsia="仿宋_GB2312" w:hAnsiTheme="minorHAnsi" w:cstheme="minorBidi"/>
          <w:bCs w:val="0"/>
          <w:kern w:val="2"/>
          <w:sz w:val="32"/>
          <w:szCs w:val="32"/>
          <w:lang w:val="en-US" w:eastAsia="zh-CN" w:bidi="ar-SA"/>
        </w:rPr>
      </w:pPr>
      <w:r>
        <w:rPr>
          <w:rFonts w:hint="eastAsia" w:ascii="仿宋_GB2312" w:eastAsia="仿宋_GB2312" w:hAnsiTheme="minorHAnsi" w:cstheme="minorBidi"/>
          <w:bCs w:val="0"/>
          <w:kern w:val="2"/>
          <w:sz w:val="32"/>
          <w:szCs w:val="32"/>
          <w:lang w:val="en-US" w:eastAsia="zh-CN" w:bidi="ar-SA"/>
        </w:rPr>
        <w:t>一是及时配合劳动合同鉴证部门和建筑施工企业做好参保人员的工伤待遇支付工作。</w:t>
      </w:r>
    </w:p>
    <w:p>
      <w:pPr>
        <w:keepNext w:val="0"/>
        <w:keepLines w:val="0"/>
        <w:pageBreakBefore w:val="0"/>
        <w:kinsoku/>
        <w:wordWrap/>
        <w:overflowPunct/>
        <w:topLinePunct w:val="0"/>
        <w:autoSpaceDE/>
        <w:autoSpaceDN/>
        <w:bidi w:val="0"/>
        <w:spacing w:line="560" w:lineRule="exact"/>
        <w:ind w:firstLine="624" w:firstLineChars="210"/>
        <w:textAlignment w:val="auto"/>
        <w:rPr>
          <w:rFonts w:hint="eastAsia" w:ascii="仿宋_GB2312" w:eastAsia="仿宋_GB2312" w:hAnsiTheme="minorHAnsi" w:cstheme="minorBidi"/>
          <w:bCs w:val="0"/>
          <w:kern w:val="2"/>
          <w:sz w:val="32"/>
          <w:szCs w:val="32"/>
          <w:lang w:val="en-US" w:eastAsia="zh-CN" w:bidi="ar-SA"/>
        </w:rPr>
      </w:pPr>
      <w:r>
        <w:rPr>
          <w:rFonts w:hint="eastAsia" w:ascii="仿宋_GB2312" w:eastAsia="仿宋_GB2312" w:hAnsiTheme="minorHAnsi" w:cstheme="minorBidi"/>
          <w:bCs w:val="0"/>
          <w:kern w:val="2"/>
          <w:sz w:val="32"/>
          <w:szCs w:val="32"/>
          <w:lang w:val="en-US" w:eastAsia="zh-CN" w:bidi="ar-SA"/>
        </w:rPr>
        <w:t>二是积极推进参保扩面增效和社保服务“康乃馨”行动。</w:t>
      </w:r>
    </w:p>
    <w:p>
      <w:pPr>
        <w:keepNext w:val="0"/>
        <w:keepLines w:val="0"/>
        <w:pageBreakBefore w:val="0"/>
        <w:kinsoku/>
        <w:wordWrap/>
        <w:overflowPunct/>
        <w:topLinePunct w:val="0"/>
        <w:autoSpaceDE/>
        <w:autoSpaceDN/>
        <w:bidi w:val="0"/>
        <w:spacing w:line="560" w:lineRule="exact"/>
        <w:ind w:firstLine="624" w:firstLineChars="210"/>
        <w:textAlignment w:val="auto"/>
        <w:rPr>
          <w:rFonts w:hint="eastAsia" w:ascii="仿宋_GB2312" w:eastAsia="仿宋_GB2312" w:hAnsiTheme="minorHAnsi" w:cstheme="minorBidi"/>
          <w:bCs w:val="0"/>
          <w:kern w:val="2"/>
          <w:sz w:val="32"/>
          <w:szCs w:val="32"/>
          <w:lang w:val="en-US" w:eastAsia="zh-CN" w:bidi="ar-SA"/>
        </w:rPr>
      </w:pPr>
      <w:r>
        <w:rPr>
          <w:rFonts w:hint="eastAsia" w:ascii="仿宋_GB2312" w:eastAsia="仿宋_GB2312" w:hAnsiTheme="minorHAnsi" w:cstheme="minorBidi"/>
          <w:bCs w:val="0"/>
          <w:kern w:val="2"/>
          <w:sz w:val="32"/>
          <w:szCs w:val="32"/>
          <w:lang w:val="en-US" w:eastAsia="zh-CN" w:bidi="ar-SA"/>
        </w:rPr>
        <w:t>（二）做好养老、工伤保险的参保工作和社会保险基金的征缴管理，扎实开展好社保基金管理提升年行动，确保社会保险基金安全运行。</w:t>
      </w:r>
    </w:p>
    <w:p>
      <w:pPr>
        <w:keepNext w:val="0"/>
        <w:keepLines w:val="0"/>
        <w:pageBreakBefore w:val="0"/>
        <w:kinsoku/>
        <w:wordWrap/>
        <w:overflowPunct/>
        <w:topLinePunct w:val="0"/>
        <w:autoSpaceDE/>
        <w:autoSpaceDN/>
        <w:bidi w:val="0"/>
        <w:spacing w:line="560" w:lineRule="exact"/>
        <w:ind w:firstLine="624" w:firstLineChars="210"/>
        <w:textAlignment w:val="auto"/>
        <w:rPr>
          <w:rFonts w:hint="eastAsia" w:ascii="仿宋_GB2312" w:eastAsia="仿宋_GB2312" w:hAnsiTheme="minorHAnsi" w:cstheme="minorBidi"/>
          <w:bCs w:val="0"/>
          <w:kern w:val="2"/>
          <w:sz w:val="32"/>
          <w:szCs w:val="32"/>
          <w:lang w:val="en-US" w:eastAsia="zh-CN" w:bidi="ar-SA"/>
        </w:rPr>
      </w:pPr>
      <w:r>
        <w:rPr>
          <w:rFonts w:hint="eastAsia" w:ascii="仿宋_GB2312" w:eastAsia="仿宋_GB2312" w:hAnsiTheme="minorHAnsi" w:cstheme="minorBidi"/>
          <w:bCs w:val="0"/>
          <w:kern w:val="2"/>
          <w:sz w:val="32"/>
          <w:szCs w:val="32"/>
          <w:lang w:val="en-US" w:eastAsia="zh-CN" w:bidi="ar-SA"/>
        </w:rPr>
        <w:t>一是加大社会保险政策宣传力度，让广大用工单位熟悉社会保险政策，积极为职工购买社会保险。</w:t>
      </w:r>
    </w:p>
    <w:p>
      <w:pPr>
        <w:keepNext w:val="0"/>
        <w:keepLines w:val="0"/>
        <w:pageBreakBefore w:val="0"/>
        <w:kinsoku/>
        <w:wordWrap/>
        <w:overflowPunct/>
        <w:topLinePunct w:val="0"/>
        <w:autoSpaceDE/>
        <w:autoSpaceDN/>
        <w:bidi w:val="0"/>
        <w:spacing w:line="560" w:lineRule="exact"/>
        <w:ind w:firstLine="624" w:firstLineChars="210"/>
        <w:textAlignment w:val="auto"/>
        <w:rPr>
          <w:rFonts w:hint="eastAsia" w:ascii="仿宋_GB2312" w:eastAsia="仿宋_GB2312" w:hAnsiTheme="minorHAnsi" w:cstheme="minorBidi"/>
          <w:bCs w:val="0"/>
          <w:kern w:val="2"/>
          <w:sz w:val="32"/>
          <w:szCs w:val="32"/>
          <w:lang w:val="en-US" w:eastAsia="zh-CN" w:bidi="ar-SA"/>
        </w:rPr>
      </w:pPr>
      <w:r>
        <w:rPr>
          <w:rFonts w:hint="eastAsia" w:ascii="仿宋_GB2312" w:eastAsia="仿宋_GB2312" w:hAnsiTheme="minorHAnsi" w:cstheme="minorBidi"/>
          <w:bCs w:val="0"/>
          <w:kern w:val="2"/>
          <w:sz w:val="32"/>
          <w:szCs w:val="32"/>
          <w:lang w:val="en-US" w:eastAsia="zh-CN" w:bidi="ar-SA"/>
        </w:rPr>
        <w:t>二是加强社会保险业务经办人员的政策学习，做好社会保险业务经办的硬件设施建设，提高社保业务经办服务水平，为参保人提供优质的经办服务。</w:t>
      </w:r>
    </w:p>
    <w:p>
      <w:pPr>
        <w:keepNext w:val="0"/>
        <w:keepLines w:val="0"/>
        <w:pageBreakBefore w:val="0"/>
        <w:kinsoku/>
        <w:wordWrap/>
        <w:overflowPunct/>
        <w:topLinePunct w:val="0"/>
        <w:autoSpaceDE/>
        <w:autoSpaceDN/>
        <w:bidi w:val="0"/>
        <w:spacing w:line="560" w:lineRule="exact"/>
        <w:ind w:firstLine="624" w:firstLineChars="210"/>
        <w:textAlignment w:val="auto"/>
        <w:rPr>
          <w:rFonts w:hint="eastAsia" w:ascii="仿宋_GB2312" w:eastAsia="仿宋_GB2312" w:hAnsiTheme="minorHAnsi" w:cstheme="minorBidi"/>
          <w:bCs w:val="0"/>
          <w:kern w:val="2"/>
          <w:sz w:val="32"/>
          <w:szCs w:val="32"/>
          <w:lang w:val="en-US" w:eastAsia="zh-CN" w:bidi="ar-SA"/>
        </w:rPr>
      </w:pPr>
      <w:r>
        <w:rPr>
          <w:rFonts w:hint="eastAsia" w:ascii="仿宋_GB2312" w:eastAsia="仿宋_GB2312" w:hAnsiTheme="minorHAnsi" w:cstheme="minorBidi"/>
          <w:bCs w:val="0"/>
          <w:kern w:val="2"/>
          <w:sz w:val="32"/>
          <w:szCs w:val="32"/>
          <w:lang w:val="en-US" w:eastAsia="zh-CN" w:bidi="ar-SA"/>
        </w:rPr>
        <w:t>三是做好参保人的各项权益维护和待遇支付工作。</w:t>
      </w:r>
    </w:p>
    <w:p>
      <w:pPr>
        <w:keepNext w:val="0"/>
        <w:keepLines w:val="0"/>
        <w:pageBreakBefore w:val="0"/>
        <w:kinsoku/>
        <w:wordWrap/>
        <w:overflowPunct/>
        <w:topLinePunct w:val="0"/>
        <w:autoSpaceDE/>
        <w:autoSpaceDN/>
        <w:bidi w:val="0"/>
        <w:spacing w:line="560" w:lineRule="exact"/>
        <w:ind w:firstLine="624" w:firstLineChars="210"/>
        <w:textAlignment w:val="auto"/>
        <w:rPr>
          <w:rFonts w:hint="eastAsia" w:ascii="仿宋_GB2312" w:eastAsia="仿宋_GB2312" w:hAnsiTheme="minorHAnsi" w:cstheme="minorBidi"/>
          <w:bCs w:val="0"/>
          <w:kern w:val="2"/>
          <w:sz w:val="32"/>
          <w:szCs w:val="32"/>
          <w:lang w:val="en-US" w:eastAsia="zh-CN" w:bidi="ar-SA"/>
        </w:rPr>
      </w:pPr>
      <w:r>
        <w:rPr>
          <w:rFonts w:hint="eastAsia" w:ascii="仿宋_GB2312" w:eastAsia="仿宋_GB2312" w:hAnsiTheme="minorHAnsi" w:cstheme="minorBidi"/>
          <w:bCs w:val="0"/>
          <w:kern w:val="2"/>
          <w:sz w:val="32"/>
          <w:szCs w:val="32"/>
          <w:lang w:val="en-US" w:eastAsia="zh-CN" w:bidi="ar-SA"/>
        </w:rPr>
        <w:t>四是加强与财政、地税部门的协作，共同做好社会保险基金的征缴管理工作，确保社会保险基金安全运行。</w:t>
      </w:r>
    </w:p>
    <w:p>
      <w:pPr>
        <w:keepNext w:val="0"/>
        <w:keepLines w:val="0"/>
        <w:pageBreakBefore w:val="0"/>
        <w:kinsoku/>
        <w:wordWrap/>
        <w:overflowPunct/>
        <w:topLinePunct w:val="0"/>
        <w:autoSpaceDE/>
        <w:autoSpaceDN/>
        <w:bidi w:val="0"/>
        <w:spacing w:line="560" w:lineRule="exact"/>
        <w:ind w:firstLine="624" w:firstLineChars="210"/>
        <w:textAlignment w:val="auto"/>
        <w:rPr>
          <w:rFonts w:hint="eastAsia" w:ascii="仿宋_GB2312" w:eastAsia="仿宋_GB2312" w:hAnsiTheme="minorHAnsi" w:cstheme="minorBidi"/>
          <w:bCs w:val="0"/>
          <w:kern w:val="2"/>
          <w:sz w:val="32"/>
          <w:szCs w:val="32"/>
          <w:lang w:val="en-US" w:eastAsia="zh-CN" w:bidi="ar-SA"/>
        </w:rPr>
      </w:pPr>
      <w:r>
        <w:rPr>
          <w:rFonts w:hint="eastAsia" w:ascii="仿宋_GB2312" w:eastAsia="仿宋_GB2312" w:hAnsiTheme="minorHAnsi" w:cstheme="minorBidi"/>
          <w:bCs w:val="0"/>
          <w:kern w:val="2"/>
          <w:sz w:val="32"/>
          <w:szCs w:val="32"/>
          <w:lang w:val="en-US" w:eastAsia="zh-CN" w:bidi="ar-SA"/>
        </w:rPr>
        <w:t>五是积极推进社保卡应发尽发工作。</w:t>
      </w:r>
    </w:p>
    <w:p>
      <w:pPr>
        <w:keepNext w:val="0"/>
        <w:keepLines w:val="0"/>
        <w:pageBreakBefore w:val="0"/>
        <w:kinsoku/>
        <w:wordWrap/>
        <w:overflowPunct/>
        <w:topLinePunct w:val="0"/>
        <w:autoSpaceDE/>
        <w:autoSpaceDN/>
        <w:bidi w:val="0"/>
        <w:spacing w:line="560" w:lineRule="exact"/>
        <w:ind w:firstLine="624" w:firstLineChars="210"/>
        <w:textAlignment w:val="auto"/>
        <w:rPr>
          <w:rFonts w:hint="eastAsia" w:ascii="仿宋_GB2312" w:eastAsia="仿宋_GB2312" w:hAnsiTheme="minorHAnsi" w:cstheme="minorBidi"/>
          <w:bCs w:val="0"/>
          <w:kern w:val="2"/>
          <w:sz w:val="32"/>
          <w:szCs w:val="32"/>
          <w:lang w:val="en-US" w:eastAsia="zh-CN" w:bidi="ar-SA"/>
        </w:rPr>
      </w:pPr>
      <w:r>
        <w:rPr>
          <w:rFonts w:hint="eastAsia" w:ascii="仿宋_GB2312" w:eastAsia="仿宋_GB2312" w:hAnsiTheme="minorHAnsi" w:cstheme="minorBidi"/>
          <w:bCs w:val="0"/>
          <w:kern w:val="2"/>
          <w:sz w:val="32"/>
          <w:szCs w:val="32"/>
          <w:lang w:val="en-US" w:eastAsia="zh-CN" w:bidi="ar-SA"/>
        </w:rPr>
        <w:t>（三）持续优化窗口，搞好标准化事项试点工作，进一步优化营商环境。</w:t>
      </w:r>
    </w:p>
    <w:p>
      <w:pPr>
        <w:keepNext w:val="0"/>
        <w:keepLines w:val="0"/>
        <w:pageBreakBefore w:val="0"/>
        <w:kinsoku/>
        <w:wordWrap/>
        <w:overflowPunct/>
        <w:topLinePunct w:val="0"/>
        <w:autoSpaceDE/>
        <w:autoSpaceDN/>
        <w:bidi w:val="0"/>
        <w:spacing w:line="560" w:lineRule="exact"/>
        <w:ind w:firstLine="624" w:firstLineChars="210"/>
        <w:textAlignment w:val="auto"/>
        <w:rPr>
          <w:rFonts w:hint="eastAsia" w:ascii="仿宋_GB2312" w:eastAsia="仿宋_GB2312" w:hAnsiTheme="minorHAnsi" w:cstheme="minorBidi"/>
          <w:bCs w:val="0"/>
          <w:kern w:val="2"/>
          <w:sz w:val="32"/>
          <w:szCs w:val="32"/>
          <w:lang w:val="en-US" w:eastAsia="zh-CN" w:bidi="ar-SA"/>
        </w:rPr>
      </w:pPr>
      <w:r>
        <w:rPr>
          <w:rFonts w:hint="eastAsia" w:ascii="仿宋_GB2312" w:eastAsia="仿宋_GB2312" w:hAnsiTheme="minorHAnsi" w:cstheme="minorBidi"/>
          <w:bCs w:val="0"/>
          <w:kern w:val="2"/>
          <w:sz w:val="32"/>
          <w:szCs w:val="32"/>
          <w:lang w:val="en-US" w:eastAsia="zh-CN" w:bidi="ar-SA"/>
        </w:rPr>
        <w:t>一是进一步提升窗口设备及窗口工作人员业务经办素质。</w:t>
      </w:r>
    </w:p>
    <w:p>
      <w:pPr>
        <w:keepNext w:val="0"/>
        <w:keepLines w:val="0"/>
        <w:pageBreakBefore w:val="0"/>
        <w:kinsoku/>
        <w:wordWrap/>
        <w:overflowPunct/>
        <w:topLinePunct w:val="0"/>
        <w:autoSpaceDE/>
        <w:autoSpaceDN/>
        <w:bidi w:val="0"/>
        <w:spacing w:line="560" w:lineRule="exact"/>
        <w:ind w:firstLine="624" w:firstLineChars="210"/>
        <w:textAlignment w:val="auto"/>
        <w:rPr>
          <w:rFonts w:hint="eastAsia" w:ascii="仿宋_GB2312" w:eastAsia="仿宋_GB2312" w:hAnsiTheme="minorHAnsi" w:cstheme="minorBidi"/>
          <w:bCs w:val="0"/>
          <w:kern w:val="2"/>
          <w:sz w:val="32"/>
          <w:szCs w:val="32"/>
          <w:lang w:val="en-US" w:eastAsia="zh-CN" w:bidi="ar-SA"/>
        </w:rPr>
      </w:pPr>
      <w:r>
        <w:rPr>
          <w:rFonts w:hint="eastAsia" w:ascii="仿宋_GB2312" w:eastAsia="仿宋_GB2312" w:hAnsiTheme="minorHAnsi" w:cstheme="minorBidi"/>
          <w:bCs w:val="0"/>
          <w:kern w:val="2"/>
          <w:sz w:val="32"/>
          <w:szCs w:val="32"/>
          <w:lang w:val="en-US" w:eastAsia="zh-CN" w:bidi="ar-SA"/>
        </w:rPr>
        <w:t>二是优化办事流程，推进办事事项标准化。</w:t>
      </w:r>
    </w:p>
    <w:p>
      <w:pPr>
        <w:spacing w:line="560" w:lineRule="exact"/>
        <w:ind w:firstLine="624" w:firstLineChars="210"/>
        <w:rPr>
          <w:rFonts w:hint="eastAsia" w:ascii="仿宋" w:hAnsi="仿宋" w:eastAsia="仿宋"/>
          <w:b w:val="0"/>
          <w:bCs/>
          <w:sz w:val="32"/>
          <w:szCs w:val="32"/>
        </w:rPr>
      </w:pPr>
      <w:r>
        <w:rPr>
          <w:rFonts w:hint="eastAsia" w:ascii="仿宋_GB2312" w:eastAsia="仿宋_GB2312" w:hAnsiTheme="minorHAnsi" w:cstheme="minorBidi"/>
          <w:bCs w:val="0"/>
          <w:kern w:val="2"/>
          <w:sz w:val="32"/>
          <w:szCs w:val="32"/>
          <w:lang w:val="en-US" w:eastAsia="zh-CN" w:bidi="ar-SA"/>
        </w:rPr>
        <w:t>三是持续优化营商环境。</w:t>
      </w:r>
    </w:p>
    <w:p>
      <w:pPr>
        <w:topLinePunct/>
        <w:ind w:firstLine="594" w:firstLineChars="200"/>
        <w:rPr>
          <w:rFonts w:ascii="黑体" w:eastAsia="黑体"/>
          <w:szCs w:val="32"/>
        </w:rPr>
      </w:pPr>
      <w:r>
        <w:rPr>
          <w:rFonts w:hint="eastAsia" w:ascii="黑体" w:eastAsia="黑体"/>
          <w:szCs w:val="32"/>
        </w:rPr>
        <w:t>六、其他需要说明的问题</w:t>
      </w:r>
    </w:p>
    <w:p>
      <w:pPr>
        <w:rPr>
          <w:rFonts w:hint="default" w:eastAsia="仿宋_GB2312"/>
          <w:lang w:val="en-US" w:eastAsia="zh-CN"/>
        </w:rPr>
      </w:pPr>
      <w:r>
        <w:rPr>
          <w:rFonts w:hint="eastAsia"/>
          <w:lang w:val="en-US" w:eastAsia="zh-CN"/>
        </w:rPr>
        <w:t xml:space="preserve">        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panose1 w:val="020B0604020202030204"/>
    <w:charset w:val="00"/>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900FC0"/>
    <w:multiLevelType w:val="singleLevel"/>
    <w:tmpl w:val="A2900FC0"/>
    <w:lvl w:ilvl="0" w:tentative="0">
      <w:start w:val="4"/>
      <w:numFmt w:val="chineseCounting"/>
      <w:suff w:val="nothing"/>
      <w:lvlText w:val="%1、"/>
      <w:lvlJc w:val="left"/>
      <w:rPr>
        <w:rFonts w:hint="eastAsia"/>
      </w:rPr>
    </w:lvl>
  </w:abstractNum>
  <w:abstractNum w:abstractNumId="1">
    <w:nsid w:val="C9D7F79F"/>
    <w:multiLevelType w:val="singleLevel"/>
    <w:tmpl w:val="C9D7F79F"/>
    <w:lvl w:ilvl="0" w:tentative="0">
      <w:start w:val="2"/>
      <w:numFmt w:val="chineseCounting"/>
      <w:suff w:val="nothing"/>
      <w:lvlText w:val="（%1）"/>
      <w:lvlJc w:val="left"/>
      <w:pPr>
        <w:ind w:left="-2"/>
      </w:pPr>
      <w:rPr>
        <w:rFonts w:hint="eastAsia"/>
      </w:rPr>
    </w:lvl>
  </w:abstractNum>
  <w:abstractNum w:abstractNumId="2">
    <w:nsid w:val="EFDF32D9"/>
    <w:multiLevelType w:val="singleLevel"/>
    <w:tmpl w:val="EFDF32D9"/>
    <w:lvl w:ilvl="0" w:tentative="0">
      <w:start w:val="2"/>
      <w:numFmt w:val="decimal"/>
      <w:suff w:val="nothing"/>
      <w:lvlText w:val="%1、"/>
      <w:lvlJc w:val="left"/>
    </w:lvl>
  </w:abstractNum>
  <w:abstractNum w:abstractNumId="3">
    <w:nsid w:val="37520C73"/>
    <w:multiLevelType w:val="singleLevel"/>
    <w:tmpl w:val="37520C73"/>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C4311"/>
    <w:rsid w:val="121A3383"/>
    <w:rsid w:val="1A055A28"/>
    <w:rsid w:val="23F559A6"/>
    <w:rsid w:val="38DF7A88"/>
    <w:rsid w:val="3FE12470"/>
    <w:rsid w:val="40B2169B"/>
    <w:rsid w:val="411B32C9"/>
    <w:rsid w:val="53F778B0"/>
    <w:rsid w:val="6DBE2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9"/>
    <w:pPr>
      <w:jc w:val="center"/>
      <w:outlineLvl w:val="0"/>
    </w:pPr>
    <w:rPr>
      <w:rFonts w:ascii="方正小标宋_GBK" w:hAnsi="方正小标宋_GBK" w:eastAsia="方正小标宋_GBK"/>
      <w:bCs/>
      <w:sz w:val="44"/>
      <w:szCs w:val="44"/>
    </w:rPr>
  </w:style>
  <w:style w:type="paragraph" w:styleId="3">
    <w:name w:val="heading 2"/>
    <w:basedOn w:val="1"/>
    <w:next w:val="1"/>
    <w:qFormat/>
    <w:uiPriority w:val="0"/>
    <w:pPr>
      <w:overflowPunct w:val="0"/>
      <w:spacing w:line="560" w:lineRule="exact"/>
      <w:ind w:firstLine="641"/>
      <w:outlineLvl w:val="1"/>
    </w:pPr>
    <w:rPr>
      <w:rFonts w:ascii="Cambria" w:hAnsi="Cambria" w:eastAsia="楷体_GB2312" w:cs="Times New Roman"/>
      <w:bCs/>
      <w:sz w:val="32"/>
      <w:szCs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HP</cp:lastModifiedBy>
  <dcterms:modified xsi:type="dcterms:W3CDTF">2023-04-03T08:05:35Z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EA1B3EC06750498381D2CF1772B706A3</vt:lpwstr>
  </property>
</Properties>
</file>