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18"/>
          <w:tab w:val="center" w:pos="4212"/>
        </w:tabs>
        <w:spacing w:line="600" w:lineRule="exact"/>
        <w:jc w:val="center"/>
        <w:rPr>
          <w:rFonts w:ascii="仿宋_GB2312"/>
          <w:b/>
          <w:szCs w:val="32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昆明市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呈贡区劳动就业服务局</w:t>
      </w:r>
      <w:r>
        <w:rPr>
          <w:rFonts w:hint="eastAsia" w:ascii="方正小标宋_GBK" w:eastAsia="方正小标宋_GBK"/>
          <w:sz w:val="36"/>
          <w:szCs w:val="36"/>
        </w:rPr>
        <w:t>部门整体支出绩效评价报告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（一）部门整体支出概况，年</w:t>
      </w:r>
      <w:r>
        <w:rPr>
          <w:rFonts w:hint="eastAsia" w:ascii="仿宋_GB2312"/>
          <w:szCs w:val="32"/>
          <w:lang w:eastAsia="zh-CN"/>
        </w:rPr>
        <w:t>度</w:t>
      </w:r>
      <w:r>
        <w:rPr>
          <w:rFonts w:hint="eastAsia" w:ascii="仿宋_GB2312"/>
          <w:szCs w:val="32"/>
        </w:rPr>
        <w:t>部门决算收支完成情况，包括收入构成、支出构成、年初预算完成率、当年收支平衡和年终结转结余情况等。</w:t>
      </w:r>
    </w:p>
    <w:p>
      <w:pPr>
        <w:snapToGrid w:val="0"/>
        <w:spacing w:line="360" w:lineRule="auto"/>
        <w:ind w:firstLine="594" w:firstLineChars="200"/>
        <w:rPr>
          <w:rFonts w:ascii="仿宋_GB2312" w:hAnsi="微软雅黑"/>
          <w:color w:val="000000"/>
          <w:szCs w:val="32"/>
        </w:rPr>
      </w:pPr>
      <w:r>
        <w:rPr>
          <w:rFonts w:hint="eastAsia" w:ascii="仿宋_GB2312" w:hAnsi="微软雅黑"/>
          <w:color w:val="000000"/>
          <w:szCs w:val="32"/>
          <w:lang w:eastAsia="zh-CN"/>
        </w:rPr>
        <w:t>2022年</w:t>
      </w:r>
      <w:r>
        <w:rPr>
          <w:rFonts w:hint="eastAsia" w:ascii="仿宋_GB2312" w:hAnsi="微软雅黑"/>
          <w:color w:val="000000"/>
          <w:szCs w:val="32"/>
        </w:rPr>
        <w:t>区就业局年初预算数为1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748.76</w:t>
      </w:r>
      <w:r>
        <w:rPr>
          <w:rFonts w:hint="eastAsia" w:ascii="仿宋_GB2312" w:hAnsi="微软雅黑"/>
          <w:color w:val="000000"/>
          <w:szCs w:val="32"/>
        </w:rPr>
        <w:t>万元，一般公共预算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1748.76</w:t>
      </w:r>
      <w:r>
        <w:rPr>
          <w:rFonts w:hint="eastAsia" w:ascii="仿宋_GB2312" w:hAnsi="微软雅黑"/>
          <w:color w:val="000000"/>
          <w:szCs w:val="32"/>
        </w:rPr>
        <w:t>万元，比202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1</w:t>
      </w:r>
      <w:r>
        <w:rPr>
          <w:rFonts w:hint="eastAsia" w:ascii="仿宋_GB2312" w:hAnsi="微软雅黑"/>
          <w:color w:val="000000"/>
          <w:szCs w:val="32"/>
        </w:rPr>
        <w:t>年预算数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减少196.71</w:t>
      </w:r>
      <w:r>
        <w:rPr>
          <w:rFonts w:hint="eastAsia" w:ascii="仿宋_GB2312" w:hAnsi="微软雅黑"/>
          <w:color w:val="000000"/>
          <w:szCs w:val="32"/>
        </w:rPr>
        <w:t>万元</w:t>
      </w:r>
      <w:r>
        <w:rPr>
          <w:rFonts w:hint="eastAsia" w:ascii="仿宋_GB2312" w:hAnsi="微软雅黑"/>
          <w:color w:val="000000"/>
          <w:szCs w:val="32"/>
          <w:lang w:eastAsia="zh-CN"/>
        </w:rPr>
        <w:t>，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下降10.11%</w:t>
      </w:r>
      <w:r>
        <w:rPr>
          <w:rFonts w:hint="eastAsia" w:ascii="仿宋_GB2312" w:hAnsi="微软雅黑"/>
          <w:color w:val="000000"/>
          <w:szCs w:val="32"/>
        </w:rPr>
        <w:t>。</w:t>
      </w:r>
    </w:p>
    <w:p>
      <w:pPr>
        <w:snapToGrid w:val="0"/>
        <w:spacing w:line="360" w:lineRule="auto"/>
        <w:ind w:firstLine="594" w:firstLineChars="200"/>
        <w:rPr>
          <w:rFonts w:ascii="仿宋_GB2312" w:hAnsi="微软雅黑"/>
          <w:color w:val="000000"/>
          <w:szCs w:val="32"/>
        </w:rPr>
      </w:pPr>
      <w:r>
        <w:rPr>
          <w:rFonts w:hint="eastAsia" w:ascii="仿宋_GB2312" w:hAnsi="微软雅黑"/>
          <w:color w:val="000000"/>
          <w:szCs w:val="32"/>
          <w:lang w:eastAsia="zh-CN"/>
        </w:rPr>
        <w:t>2022年</w:t>
      </w:r>
      <w:r>
        <w:rPr>
          <w:rFonts w:hint="eastAsia" w:ascii="仿宋_GB2312" w:hAnsi="微软雅黑"/>
          <w:color w:val="000000"/>
          <w:szCs w:val="32"/>
        </w:rPr>
        <w:t>区就业局收入决算数为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2534.62</w:t>
      </w:r>
      <w:r>
        <w:rPr>
          <w:rFonts w:hint="eastAsia" w:ascii="仿宋_GB2312" w:hAnsi="微软雅黑"/>
          <w:color w:val="000000"/>
          <w:szCs w:val="32"/>
        </w:rPr>
        <w:t>万元，比</w:t>
      </w:r>
      <w:r>
        <w:rPr>
          <w:rFonts w:hint="eastAsia" w:ascii="仿宋_GB2312" w:hAnsi="微软雅黑"/>
          <w:color w:val="000000"/>
          <w:szCs w:val="32"/>
          <w:lang w:eastAsia="zh-CN"/>
        </w:rPr>
        <w:t>2021年</w:t>
      </w:r>
      <w:r>
        <w:rPr>
          <w:rFonts w:hint="eastAsia" w:ascii="仿宋_GB2312" w:hAnsi="微软雅黑"/>
          <w:color w:val="000000"/>
          <w:szCs w:val="32"/>
        </w:rPr>
        <w:t>收入决算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数减少135.97</w:t>
      </w:r>
      <w:r>
        <w:rPr>
          <w:rFonts w:hint="eastAsia" w:ascii="仿宋_GB2312" w:hAnsi="微软雅黑"/>
          <w:color w:val="000000"/>
          <w:szCs w:val="32"/>
        </w:rPr>
        <w:t>万元。</w:t>
      </w:r>
      <w:r>
        <w:rPr>
          <w:rFonts w:hint="eastAsia" w:ascii="仿宋_GB2312" w:hAnsi="微软雅黑"/>
          <w:color w:val="000000"/>
          <w:szCs w:val="32"/>
          <w:lang w:eastAsia="zh-CN"/>
        </w:rPr>
        <w:t>2022年</w:t>
      </w:r>
      <w:r>
        <w:rPr>
          <w:rFonts w:hint="eastAsia" w:ascii="仿宋_GB2312" w:hAnsi="微软雅黑"/>
          <w:color w:val="000000"/>
          <w:szCs w:val="32"/>
        </w:rPr>
        <w:t>支出决算数为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2541.81</w:t>
      </w:r>
      <w:r>
        <w:rPr>
          <w:rFonts w:hint="eastAsia" w:ascii="仿宋_GB2312" w:hAnsi="微软雅黑"/>
          <w:color w:val="000000"/>
          <w:szCs w:val="32"/>
        </w:rPr>
        <w:t>万元，比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上年增加150.357</w:t>
      </w:r>
      <w:r>
        <w:rPr>
          <w:rFonts w:hint="eastAsia" w:ascii="仿宋_GB2312" w:hAnsi="微软雅黑"/>
          <w:color w:val="000000"/>
          <w:szCs w:val="32"/>
        </w:rPr>
        <w:t>万元</w:t>
      </w:r>
      <w:r>
        <w:rPr>
          <w:rFonts w:hint="eastAsia" w:ascii="仿宋_GB2312" w:hAnsi="微软雅黑"/>
          <w:color w:val="000000"/>
          <w:szCs w:val="32"/>
          <w:lang w:eastAsia="zh-CN"/>
        </w:rPr>
        <w:t>，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增长5.93%</w:t>
      </w:r>
      <w:r>
        <w:rPr>
          <w:rFonts w:hint="eastAsia" w:ascii="仿宋_GB2312" w:hAnsi="微软雅黑"/>
          <w:color w:val="000000"/>
          <w:szCs w:val="32"/>
        </w:rPr>
        <w:t>。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增加</w:t>
      </w:r>
      <w:r>
        <w:rPr>
          <w:rFonts w:hint="eastAsia" w:ascii="仿宋_GB2312" w:hAnsi="微软雅黑"/>
          <w:color w:val="000000"/>
          <w:szCs w:val="32"/>
        </w:rPr>
        <w:t>的主要原因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2021年结转资金增加，2022年支出增加</w:t>
      </w:r>
      <w:r>
        <w:rPr>
          <w:rFonts w:hint="eastAsia" w:ascii="仿宋_GB2312" w:hAnsi="微软雅黑"/>
          <w:color w:val="000000"/>
          <w:szCs w:val="32"/>
        </w:rPr>
        <w:t>。</w:t>
      </w:r>
    </w:p>
    <w:p>
      <w:pPr>
        <w:snapToGrid w:val="0"/>
        <w:spacing w:line="360" w:lineRule="auto"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微软雅黑"/>
          <w:color w:val="000000"/>
          <w:szCs w:val="32"/>
          <w:lang w:val="en-US" w:eastAsia="zh-CN"/>
        </w:rPr>
        <w:t>2022年年末</w:t>
      </w:r>
      <w:r>
        <w:rPr>
          <w:rFonts w:hint="eastAsia" w:ascii="仿宋_GB2312" w:hAnsi="微软雅黑"/>
          <w:color w:val="000000"/>
          <w:szCs w:val="32"/>
        </w:rPr>
        <w:t>一般公共预算结转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10.07万</w:t>
      </w:r>
      <w:r>
        <w:rPr>
          <w:rFonts w:hint="eastAsia" w:ascii="仿宋_GB2312" w:hAnsi="微软雅黑"/>
          <w:color w:val="000000"/>
          <w:szCs w:val="32"/>
        </w:rPr>
        <w:t>元，</w:t>
      </w:r>
      <w:r>
        <w:rPr>
          <w:rFonts w:hint="eastAsia" w:ascii="仿宋_GB2312" w:hAnsi="微软雅黑"/>
          <w:color w:val="000000"/>
          <w:szCs w:val="32"/>
          <w:lang w:val="en-US" w:eastAsia="zh-CN"/>
        </w:rPr>
        <w:t>2021年结余17.26万元，结转率下降41.66%</w:t>
      </w:r>
      <w:r>
        <w:rPr>
          <w:rFonts w:hint="eastAsia" w:ascii="仿宋_GB2312" w:hAnsi="微软雅黑"/>
          <w:color w:val="000000"/>
          <w:szCs w:val="32"/>
        </w:rPr>
        <w:t>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部门整体支出绩效目标，主要包括区委、区政府或上级主管部门绩效考核的个性指标、预决算公开、存量资金管理、资产管理、三公经费控制、内部管理制度建设等的设定及完成情况，项目绩效总目标和阶段性目标完成情况及预期经济、社会效益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年初设定整体绩效目标，并分解为数量指标、质量指标、时效指标、成本指标、社会效益指标、满意度指标等个性指标，并按季度跟踪各指标完成情况，同时年度总结评价。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区就业局对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预算公开、</w:t>
      </w:r>
      <w:r>
        <w:rPr>
          <w:rFonts w:hint="eastAsia" w:ascii="仿宋_GB2312"/>
          <w:szCs w:val="32"/>
          <w:lang w:eastAsia="zh-CN"/>
        </w:rPr>
        <w:t>2021年</w:t>
      </w:r>
      <w:r>
        <w:rPr>
          <w:rFonts w:hint="eastAsia" w:ascii="仿宋_GB2312"/>
          <w:szCs w:val="32"/>
        </w:rPr>
        <w:t>决算公开，通过上级检查；由于</w:t>
      </w:r>
      <w:r>
        <w:rPr>
          <w:rFonts w:hint="eastAsia" w:ascii="仿宋_GB2312"/>
          <w:szCs w:val="32"/>
          <w:lang w:eastAsia="zh-CN"/>
        </w:rPr>
        <w:t>2021年</w:t>
      </w:r>
      <w:r>
        <w:rPr>
          <w:rFonts w:hint="eastAsia" w:ascii="仿宋_GB2312"/>
          <w:szCs w:val="32"/>
        </w:rPr>
        <w:t>年末无结转结余资金，年初单位报送存量资金报表后未再报送；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按月对固定资产计提折旧，同时针对新增的固定资产进行新增，按时完成资产年报，并配合财政对房屋资产进行清理。三公经费按月报送，严格保证与决算三公经费报表一致。内部管理制度严格按照上级人社局文件执行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部门整体支出或项目实施情况分析，主要包括资金到位、资金使用、资金管理、项目组织和项目管理情况分析等。</w:t>
      </w:r>
    </w:p>
    <w:p>
      <w:pPr>
        <w:spacing w:line="66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部门总支出</w:t>
      </w:r>
      <w:r>
        <w:rPr>
          <w:rFonts w:hint="eastAsia" w:ascii="仿宋_GB2312"/>
          <w:szCs w:val="32"/>
          <w:lang w:val="en-US" w:eastAsia="zh-CN"/>
        </w:rPr>
        <w:t>2541.81</w:t>
      </w:r>
      <w:r>
        <w:rPr>
          <w:rFonts w:hint="eastAsia" w:ascii="仿宋_GB2312"/>
          <w:szCs w:val="32"/>
        </w:rPr>
        <w:t>万元，其中基本支出</w:t>
      </w:r>
      <w:r>
        <w:rPr>
          <w:rFonts w:hint="eastAsia" w:ascii="仿宋_GB2312"/>
          <w:szCs w:val="32"/>
          <w:lang w:val="en-US" w:eastAsia="zh-CN"/>
        </w:rPr>
        <w:t>412.13</w:t>
      </w:r>
      <w:r>
        <w:rPr>
          <w:rFonts w:hint="eastAsia" w:ascii="仿宋_GB2312"/>
          <w:szCs w:val="32"/>
        </w:rPr>
        <w:t>万元，项目支出</w:t>
      </w:r>
      <w:r>
        <w:rPr>
          <w:rFonts w:hint="eastAsia" w:ascii="仿宋_GB2312"/>
          <w:szCs w:val="32"/>
          <w:lang w:val="en-US" w:eastAsia="zh-CN"/>
        </w:rPr>
        <w:t>2129.68</w:t>
      </w:r>
      <w:r>
        <w:rPr>
          <w:rFonts w:hint="eastAsia" w:ascii="仿宋_GB2312"/>
          <w:szCs w:val="32"/>
        </w:rPr>
        <w:t>万元，项目支出中央财政转移支付</w:t>
      </w:r>
      <w:r>
        <w:rPr>
          <w:rFonts w:hint="eastAsia" w:ascii="仿宋_GB2312"/>
          <w:szCs w:val="32"/>
          <w:lang w:val="en-US" w:eastAsia="zh-CN"/>
        </w:rPr>
        <w:t>资金</w:t>
      </w:r>
      <w:r>
        <w:rPr>
          <w:rFonts w:hint="eastAsia" w:ascii="仿宋_GB2312" w:hAnsi="仿宋_GB2312" w:cs="仿宋_GB2312"/>
          <w:szCs w:val="32"/>
          <w:lang w:val="en-US" w:eastAsia="zh-CN"/>
        </w:rPr>
        <w:t>995.82</w:t>
      </w:r>
      <w:r>
        <w:rPr>
          <w:rFonts w:hint="eastAsia" w:ascii="仿宋_GB2312" w:hAnsi="仿宋_GB2312" w:cs="仿宋_GB2312"/>
          <w:szCs w:val="32"/>
        </w:rPr>
        <w:t>万元，省级财政补助</w:t>
      </w:r>
      <w:r>
        <w:rPr>
          <w:rFonts w:hint="eastAsia" w:ascii="仿宋_GB2312" w:hAnsi="仿宋_GB2312" w:cs="仿宋_GB2312"/>
          <w:szCs w:val="32"/>
          <w:lang w:val="en-US" w:eastAsia="zh-CN"/>
        </w:rPr>
        <w:t>77.31</w:t>
      </w:r>
      <w:r>
        <w:rPr>
          <w:rFonts w:hint="eastAsia" w:ascii="仿宋_GB2312" w:hAnsi="仿宋_GB2312" w:cs="仿宋_GB2312"/>
          <w:szCs w:val="32"/>
        </w:rPr>
        <w:t>万元，市级财政补助</w:t>
      </w:r>
      <w:r>
        <w:rPr>
          <w:rFonts w:hint="eastAsia" w:ascii="仿宋_GB2312" w:hAnsi="仿宋_GB2312" w:cs="仿宋_GB2312"/>
          <w:szCs w:val="32"/>
          <w:lang w:val="en-US" w:eastAsia="zh-CN"/>
        </w:rPr>
        <w:t>133.87</w:t>
      </w:r>
      <w:r>
        <w:rPr>
          <w:rFonts w:hint="eastAsia" w:ascii="仿宋_GB2312" w:hAnsi="仿宋_GB2312" w:cs="仿宋_GB2312"/>
          <w:szCs w:val="32"/>
        </w:rPr>
        <w:t>万元，区级财政预算补助创业就业</w:t>
      </w:r>
      <w:r>
        <w:rPr>
          <w:rFonts w:hint="eastAsia" w:ascii="仿宋_GB2312" w:hAnsi="仿宋_GB2312" w:cs="仿宋_GB2312"/>
          <w:szCs w:val="32"/>
          <w:lang w:val="en-US" w:eastAsia="zh-CN"/>
        </w:rPr>
        <w:t>专项资金881.98</w:t>
      </w:r>
      <w:r>
        <w:rPr>
          <w:rFonts w:hint="eastAsia" w:ascii="仿宋_GB2312" w:hAnsi="仿宋_GB2312" w:cs="仿宋_GB2312"/>
          <w:szCs w:val="32"/>
        </w:rPr>
        <w:t>万元</w:t>
      </w:r>
      <w:r>
        <w:rPr>
          <w:rFonts w:ascii="仿宋_GB2312" w:hAnsi="仿宋_GB2312" w:cs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二、绩效评价工作情况</w:t>
      </w:r>
    </w:p>
    <w:p>
      <w:pPr>
        <w:topLinePunct/>
        <w:ind w:firstLine="594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绩效评价目的。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呈贡区就业局开展</w:t>
      </w:r>
      <w:r>
        <w:rPr>
          <w:rFonts w:hint="eastAsia" w:ascii="仿宋_GB2312" w:hAnsi="仿宋_GB2312" w:cs="仿宋_GB2312"/>
          <w:szCs w:val="32"/>
          <w:lang w:eastAsia="zh-CN"/>
        </w:rPr>
        <w:t>2022年</w:t>
      </w:r>
      <w:r>
        <w:rPr>
          <w:rFonts w:hint="eastAsia" w:ascii="仿宋_GB2312" w:hAnsi="仿宋_GB2312" w:cs="仿宋_GB2312"/>
          <w:szCs w:val="32"/>
        </w:rPr>
        <w:t>绩效评价，目的在于落实区委、区政府和区财政局关于绩效评价工作的相关要求，落实“用钱必问效，无效必问责”的总体要求，对于</w:t>
      </w:r>
      <w:r>
        <w:rPr>
          <w:rFonts w:hint="eastAsia" w:ascii="仿宋_GB2312" w:hAnsi="仿宋_GB2312" w:cs="仿宋_GB2312"/>
          <w:szCs w:val="32"/>
          <w:lang w:eastAsia="zh-CN"/>
        </w:rPr>
        <w:t>2022年</w:t>
      </w:r>
      <w:r>
        <w:rPr>
          <w:rFonts w:hint="eastAsia" w:ascii="仿宋_GB2312" w:hAnsi="仿宋_GB2312" w:cs="仿宋_GB2312"/>
          <w:szCs w:val="32"/>
        </w:rPr>
        <w:t>开支的绩效进行细化，确保所有开支均符合预算的支出范围和效果。</w:t>
      </w:r>
    </w:p>
    <w:p>
      <w:pPr>
        <w:numPr>
          <w:ilvl w:val="0"/>
          <w:numId w:val="2"/>
        </w:numPr>
        <w:topLinePunct/>
        <w:ind w:firstLine="594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绩效评价工作过程，主要包括前期准备、组织实施和分析评价等内容。</w:t>
      </w:r>
    </w:p>
    <w:p>
      <w:pPr>
        <w:topLinePunct/>
        <w:ind w:firstLine="594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呈贡区就业局延续2017年度的绩效评价领导小组，对于各项目的实施落实到各科室部门，明确开展各个项目后，达到应该取得的效果。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三、主要绩效及评价结论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提供有效就业岗位3691个，完成年目标任务2500个的147.64%；城镇新增就业人数10668人，完成年目标任务6300人的169.33%，其中城镇失业人员再就业人数1264人，完成年目标任务1200人的105.33%，就业困难人员就业人数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1006人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，完成年目标任务,995人的101.11%，</w:t>
      </w:r>
      <w:r>
        <w:rPr>
          <w:rFonts w:hint="eastAsia" w:ascii="仿宋_GB2312" w:eastAsia="仿宋_GB2312"/>
          <w:color w:val="auto"/>
          <w:sz w:val="32"/>
          <w:szCs w:val="32"/>
        </w:rPr>
        <w:t>累计开发公益性岗位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235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城镇登记失业率保持在3.8%内。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村劳动力已转移就业51921人，完成年目标任务51860人的100.12%，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其中省外转移就业人数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人，完成目标任务1574人的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，脱贫人口劳动力转移就业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347人，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完成目标任务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新增农村劳动力转移就业人数2767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人，完成年目标任务2700人的102.48%；新增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转移就业收入4817.95万元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，完成年目标任务4050万元的118.96%。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好“贷免扶补”、创业担保贷款和涉农居民创业就业扶持等政策，截止目前，“贷免扶补”扶持创业人数71人，完成年目标任务65人的109.23%，贷款金额共计1350.00万元；创业担保贷款贷款人数183人，完成年目标任务146人的125.34%，贷款金额2681.00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94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城镇职工</w:t>
      </w:r>
      <w:r>
        <w:rPr>
          <w:rFonts w:hint="eastAsia" w:ascii="仿宋_GB2312" w:eastAsia="仿宋_GB2312"/>
          <w:color w:val="auto"/>
          <w:sz w:val="32"/>
          <w:szCs w:val="32"/>
        </w:rPr>
        <w:t>失业保险参保人数39500人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，完成年度目标任务</w:t>
      </w:r>
      <w:r>
        <w:rPr>
          <w:rFonts w:hint="eastAsia" w:ascii="仿宋_GB2312" w:eastAsia="仿宋_GB2312"/>
          <w:color w:val="auto"/>
          <w:sz w:val="32"/>
          <w:szCs w:val="32"/>
        </w:rPr>
        <w:t>39500人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94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农村劳动力等就业重点人员培训</w:t>
      </w:r>
      <w:r>
        <w:rPr>
          <w:rFonts w:hint="eastAsia" w:ascii="仿宋_GB2312" w:eastAsia="仿宋_GB2312"/>
          <w:color w:val="auto"/>
          <w:sz w:val="32"/>
          <w:szCs w:val="32"/>
        </w:rPr>
        <w:t>人数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829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，完成年度目标任务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82.9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%，其中脱贫劳动力培训</w:t>
      </w:r>
      <w:r>
        <w:rPr>
          <w:rFonts w:hint="eastAsia" w:ascii="仿宋_GB2312" w:eastAsia="仿宋_GB2312"/>
          <w:color w:val="auto"/>
          <w:sz w:val="32"/>
          <w:szCs w:val="32"/>
        </w:rPr>
        <w:t>人数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305人，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完成年度目标任务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152.5%，SYB创业培训</w:t>
      </w:r>
      <w:r>
        <w:rPr>
          <w:rFonts w:hint="eastAsia" w:ascii="仿宋_GB2312" w:eastAsia="仿宋_GB2312"/>
          <w:color w:val="auto"/>
          <w:sz w:val="32"/>
          <w:szCs w:val="32"/>
        </w:rPr>
        <w:t>人数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150人，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完成年度目标任务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100%，网络创业培训</w:t>
      </w:r>
      <w:r>
        <w:rPr>
          <w:rFonts w:hint="eastAsia" w:ascii="仿宋_GB2312" w:eastAsia="仿宋_GB2312"/>
          <w:color w:val="auto"/>
          <w:sz w:val="32"/>
          <w:szCs w:val="32"/>
        </w:rPr>
        <w:t>人数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90人，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完成年度目标任务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100%.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94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开展高校毕业生就业服务月和大中城市联合招聘等专项活动，举办高校毕业生就业招聘活动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场（次），完成年目标任务7场次的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就业见习岗位募集368个，完成目标任务320个的115%，组织就业见习人数67人，完成目标任务240人的25%。</w:t>
      </w:r>
    </w:p>
    <w:p>
      <w:pPr>
        <w:numPr>
          <w:ilvl w:val="0"/>
          <w:numId w:val="4"/>
        </w:num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pStyle w:val="2"/>
        <w:numPr>
          <w:ilvl w:val="0"/>
          <w:numId w:val="5"/>
        </w:num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进一步拓宽就业渠道。</w:t>
      </w:r>
    </w:p>
    <w:p>
      <w:pPr>
        <w:pStyle w:val="2"/>
        <w:numPr>
          <w:ilvl w:val="0"/>
          <w:numId w:val="5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推动各项政策的贯彻落实</w:t>
      </w:r>
    </w:p>
    <w:p>
      <w:pPr>
        <w:pStyle w:val="2"/>
        <w:numPr>
          <w:ilvl w:val="0"/>
          <w:numId w:val="5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继续做好各项公共就业服务</w:t>
      </w:r>
    </w:p>
    <w:p>
      <w:pPr>
        <w:numPr>
          <w:ilvl w:val="0"/>
          <w:numId w:val="4"/>
        </w:numPr>
        <w:topLinePunct/>
        <w:ind w:left="0" w:leftChars="0"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有关建议</w:t>
      </w:r>
    </w:p>
    <w:p>
      <w:pPr>
        <w:pStyle w:val="2"/>
        <w:numPr>
          <w:numId w:val="0"/>
        </w:numPr>
        <w:ind w:firstLine="59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eastAsia="仿宋_GB2312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无</w:t>
      </w:r>
    </w:p>
    <w:bookmarkEnd w:id="0"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CB852"/>
    <w:multiLevelType w:val="singleLevel"/>
    <w:tmpl w:val="83ACB8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DA4F99D"/>
    <w:multiLevelType w:val="singleLevel"/>
    <w:tmpl w:val="9DA4F9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39D4BF3"/>
    <w:multiLevelType w:val="singleLevel"/>
    <w:tmpl w:val="F39D4BF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4D0BE5F"/>
    <w:multiLevelType w:val="singleLevel"/>
    <w:tmpl w:val="24D0BE5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AAEBEF5"/>
    <w:multiLevelType w:val="singleLevel"/>
    <w:tmpl w:val="4AAEBE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NDdlOWYyYTg4MWMxMTA2MDE1MzA4M2VjYmVjODEifQ=="/>
  </w:docVars>
  <w:rsids>
    <w:rsidRoot w:val="00000000"/>
    <w:rsid w:val="03204F7F"/>
    <w:rsid w:val="11823EC9"/>
    <w:rsid w:val="11ED5CFC"/>
    <w:rsid w:val="1A055A28"/>
    <w:rsid w:val="1CFF2A68"/>
    <w:rsid w:val="1E6C03DB"/>
    <w:rsid w:val="219235E4"/>
    <w:rsid w:val="28C52C6B"/>
    <w:rsid w:val="2AC8334C"/>
    <w:rsid w:val="31E542D4"/>
    <w:rsid w:val="32A50A13"/>
    <w:rsid w:val="3FAA090B"/>
    <w:rsid w:val="40B2169B"/>
    <w:rsid w:val="40DC68A2"/>
    <w:rsid w:val="411B32C9"/>
    <w:rsid w:val="411E1C2C"/>
    <w:rsid w:val="46F04E55"/>
    <w:rsid w:val="5B726329"/>
    <w:rsid w:val="5BAE1F98"/>
    <w:rsid w:val="615868B5"/>
    <w:rsid w:val="6DBE2E6B"/>
    <w:rsid w:val="6E470F4F"/>
    <w:rsid w:val="76C03F95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3"/>
    <w:qFormat/>
    <w:uiPriority w:val="0"/>
    <w:pPr>
      <w:ind w:firstLine="566" w:firstLineChars="202"/>
    </w:pPr>
    <w:rPr>
      <w:szCs w:val="28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2023-04-06T03:24:31Z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7F6D97DA77DC46A680575A2D9782C951</vt:lpwstr>
  </property>
</Properties>
</file>