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部门整体支出绩效评价报告（参考提纲）</w:t>
      </w:r>
    </w:p>
    <w:p>
      <w:pPr>
        <w:spacing w:line="600" w:lineRule="exact"/>
        <w:ind w:firstLine="669" w:firstLineChars="225"/>
        <w:rPr>
          <w:rFonts w:ascii="仿宋_GB2312"/>
          <w:b/>
          <w:szCs w:val="32"/>
        </w:rPr>
      </w:pPr>
    </w:p>
    <w:p>
      <w:pPr>
        <w:topLinePunct/>
        <w:ind w:firstLine="594" w:firstLineChars="200"/>
        <w:rPr>
          <w:rFonts w:ascii="黑体" w:eastAsia="黑体"/>
          <w:szCs w:val="32"/>
        </w:rPr>
      </w:pPr>
      <w:r>
        <w:rPr>
          <w:rFonts w:hint="eastAsia" w:ascii="黑体" w:eastAsia="黑体"/>
          <w:szCs w:val="32"/>
        </w:rPr>
        <w:t>一、基本情况</w:t>
      </w:r>
    </w:p>
    <w:p>
      <w:pPr>
        <w:topLinePunct/>
        <w:ind w:firstLine="594" w:firstLineChars="200"/>
        <w:rPr>
          <w:rFonts w:hint="eastAsia" w:ascii="仿宋_GB2312"/>
          <w:szCs w:val="32"/>
        </w:rPr>
      </w:pPr>
      <w:r>
        <w:rPr>
          <w:rFonts w:hint="eastAsia" w:ascii="仿宋_GB2312"/>
          <w:szCs w:val="32"/>
        </w:rPr>
        <w:t>（一）部门整体支出概况，年</w:t>
      </w:r>
      <w:r>
        <w:rPr>
          <w:rFonts w:hint="eastAsia" w:ascii="仿宋_GB2312"/>
          <w:szCs w:val="32"/>
          <w:lang w:eastAsia="zh-CN"/>
        </w:rPr>
        <w:t>度</w:t>
      </w:r>
      <w:r>
        <w:rPr>
          <w:rFonts w:hint="eastAsia" w:ascii="仿宋_GB2312"/>
          <w:szCs w:val="32"/>
        </w:rPr>
        <w:t>部门决算收支完成情况，包括收入构成、支出构成、年初预算完成率、当年收支平衡和年终结转结余情况等。</w:t>
      </w:r>
    </w:p>
    <w:p>
      <w:pPr>
        <w:topLinePunct/>
        <w:ind w:firstLine="594" w:firstLineChars="200"/>
        <w:rPr>
          <w:rFonts w:hint="eastAsia" w:ascii="仿宋_GB2312"/>
          <w:szCs w:val="32"/>
        </w:rPr>
      </w:pPr>
      <w:r>
        <w:rPr>
          <w:rFonts w:hint="eastAsia" w:ascii="仿宋_GB2312"/>
          <w:szCs w:val="32"/>
          <w:lang w:val="en-US" w:eastAsia="zh-CN"/>
        </w:rPr>
        <w:t>2022</w:t>
      </w:r>
      <w:r>
        <w:rPr>
          <w:rFonts w:hint="eastAsia" w:ascii="仿宋_GB2312"/>
          <w:szCs w:val="32"/>
        </w:rPr>
        <w:t>年昆明市呈贡区劳动监察大队决算收入</w:t>
      </w:r>
      <w:r>
        <w:rPr>
          <w:rFonts w:hint="eastAsia" w:ascii="仿宋_GB2312"/>
          <w:szCs w:val="32"/>
          <w:lang w:val="en-US" w:eastAsia="zh-CN"/>
        </w:rPr>
        <w:t>3,359,482.86</w:t>
      </w:r>
      <w:r>
        <w:rPr>
          <w:rFonts w:hint="eastAsia" w:ascii="仿宋_GB2312"/>
          <w:szCs w:val="32"/>
        </w:rPr>
        <w:t>元，其中财政拨款收入</w:t>
      </w:r>
      <w:r>
        <w:rPr>
          <w:rFonts w:hint="eastAsia" w:ascii="仿宋_GB2312"/>
          <w:szCs w:val="32"/>
          <w:lang w:val="en-US" w:eastAsia="zh-CN"/>
        </w:rPr>
        <w:t>3,359,482.86</w:t>
      </w:r>
      <w:r>
        <w:rPr>
          <w:rFonts w:hint="eastAsia" w:ascii="仿宋_GB2312"/>
          <w:szCs w:val="32"/>
        </w:rPr>
        <w:t>元，决算支出</w:t>
      </w:r>
      <w:r>
        <w:rPr>
          <w:rFonts w:hint="eastAsia" w:ascii="仿宋_GB2312"/>
          <w:szCs w:val="32"/>
          <w:lang w:val="en-US" w:eastAsia="zh-CN"/>
        </w:rPr>
        <w:t>3,359,482.86</w:t>
      </w:r>
      <w:r>
        <w:rPr>
          <w:rFonts w:hint="eastAsia" w:ascii="仿宋_GB2312"/>
          <w:szCs w:val="32"/>
        </w:rPr>
        <w:t>元。按功能分类，其中：社会保障和就业支出</w:t>
      </w:r>
      <w:r>
        <w:rPr>
          <w:rFonts w:hint="eastAsia" w:ascii="仿宋_GB2312"/>
          <w:szCs w:val="32"/>
          <w:lang w:val="en-US" w:eastAsia="zh-CN"/>
        </w:rPr>
        <w:t>2,957,140.42</w:t>
      </w:r>
      <w:r>
        <w:rPr>
          <w:rFonts w:hint="eastAsia" w:ascii="仿宋_GB2312"/>
          <w:szCs w:val="32"/>
        </w:rPr>
        <w:t>元，卫生健康支出</w:t>
      </w:r>
      <w:r>
        <w:rPr>
          <w:rFonts w:hint="eastAsia" w:ascii="仿宋_GB2312"/>
          <w:szCs w:val="32"/>
          <w:lang w:val="en-US" w:eastAsia="zh-CN"/>
        </w:rPr>
        <w:t>130,818.44</w:t>
      </w:r>
      <w:r>
        <w:rPr>
          <w:rFonts w:hint="eastAsia" w:ascii="仿宋_GB2312"/>
          <w:szCs w:val="32"/>
        </w:rPr>
        <w:t>元，住房保障支出</w:t>
      </w:r>
      <w:r>
        <w:rPr>
          <w:rFonts w:hint="eastAsia" w:ascii="仿宋_GB2312"/>
          <w:szCs w:val="32"/>
          <w:lang w:val="en-US" w:eastAsia="zh-CN"/>
        </w:rPr>
        <w:t>271,524.00</w:t>
      </w:r>
      <w:r>
        <w:rPr>
          <w:rFonts w:hint="eastAsia" w:ascii="仿宋_GB2312"/>
          <w:szCs w:val="32"/>
        </w:rPr>
        <w:t>元。按支出性质，其中：基本支出</w:t>
      </w:r>
      <w:r>
        <w:rPr>
          <w:rFonts w:hint="eastAsia" w:ascii="仿宋_GB2312"/>
          <w:szCs w:val="32"/>
          <w:lang w:val="en-US" w:eastAsia="zh-CN"/>
        </w:rPr>
        <w:t>3,333,922.75</w:t>
      </w:r>
      <w:r>
        <w:rPr>
          <w:rFonts w:hint="eastAsia" w:ascii="仿宋_GB2312"/>
          <w:szCs w:val="32"/>
        </w:rPr>
        <w:t>元（包括人员经费</w:t>
      </w:r>
      <w:r>
        <w:rPr>
          <w:rFonts w:hint="eastAsia" w:ascii="仿宋_GB2312"/>
          <w:szCs w:val="32"/>
          <w:lang w:val="en-US" w:eastAsia="zh-CN"/>
        </w:rPr>
        <w:t>3,050,749.46</w:t>
      </w:r>
      <w:r>
        <w:rPr>
          <w:rFonts w:hint="eastAsia" w:ascii="仿宋_GB2312"/>
          <w:szCs w:val="32"/>
        </w:rPr>
        <w:t>元，公用经费</w:t>
      </w:r>
      <w:r>
        <w:rPr>
          <w:rFonts w:hint="eastAsia" w:ascii="仿宋_GB2312"/>
          <w:szCs w:val="32"/>
          <w:lang w:val="en-US" w:eastAsia="zh-CN"/>
        </w:rPr>
        <w:t>283,173.29</w:t>
      </w:r>
      <w:r>
        <w:rPr>
          <w:rFonts w:hint="eastAsia" w:ascii="仿宋_GB2312"/>
          <w:szCs w:val="32"/>
        </w:rPr>
        <w:t>元）；项目支出</w:t>
      </w:r>
      <w:r>
        <w:rPr>
          <w:rFonts w:hint="eastAsia" w:ascii="仿宋_GB2312"/>
          <w:szCs w:val="32"/>
          <w:lang w:val="en-US" w:eastAsia="zh-CN"/>
        </w:rPr>
        <w:t>25,560.11</w:t>
      </w:r>
      <w:r>
        <w:rPr>
          <w:rFonts w:hint="eastAsia" w:ascii="仿宋_GB2312"/>
          <w:szCs w:val="32"/>
        </w:rPr>
        <w:t>元。</w:t>
      </w:r>
    </w:p>
    <w:p>
      <w:pPr>
        <w:topLinePunct/>
        <w:ind w:firstLine="594"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项目支出包括：</w:t>
      </w:r>
    </w:p>
    <w:p>
      <w:pPr>
        <w:topLinePunct/>
        <w:ind w:firstLine="594" w:firstLineChars="200"/>
        <w:rPr>
          <w:rFonts w:hint="eastAsia" w:ascii="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呈财社〔2022〕2号度假区（大渔片区）社会事务经费（社会保障类）专项经费7,060.11</w:t>
      </w:r>
      <w:r>
        <w:rPr>
          <w:rFonts w:hint="eastAsia" w:ascii="仿宋_GB2312" w:cstheme="minorBidi"/>
          <w:kern w:val="2"/>
          <w:sz w:val="32"/>
          <w:szCs w:val="32"/>
          <w:lang w:val="en-US" w:eastAsia="zh-CN" w:bidi="ar-SA"/>
        </w:rPr>
        <w:t>元；</w:t>
      </w:r>
    </w:p>
    <w:p>
      <w:pPr>
        <w:topLinePunct/>
        <w:ind w:firstLine="594" w:firstLineChars="200"/>
        <w:rPr>
          <w:rFonts w:hint="eastAsia" w:ascii="仿宋_GB2312" w:cstheme="minorBidi"/>
          <w:kern w:val="2"/>
          <w:sz w:val="32"/>
          <w:szCs w:val="32"/>
          <w:lang w:val="en-US" w:eastAsia="zh-CN" w:bidi="ar-SA"/>
        </w:rPr>
      </w:pPr>
      <w:r>
        <w:rPr>
          <w:rFonts w:hint="default" w:ascii="仿宋_GB2312" w:cstheme="minorBidi"/>
          <w:kern w:val="2"/>
          <w:sz w:val="32"/>
          <w:szCs w:val="32"/>
          <w:lang w:val="en-US" w:eastAsia="zh-CN" w:bidi="ar-SA"/>
        </w:rPr>
        <w:t>呈财社〔2022〕2号劳动监察保障经费13,500.00</w:t>
      </w:r>
      <w:r>
        <w:rPr>
          <w:rFonts w:hint="eastAsia" w:ascii="仿宋_GB2312" w:cstheme="minorBidi"/>
          <w:kern w:val="2"/>
          <w:sz w:val="32"/>
          <w:szCs w:val="32"/>
          <w:lang w:val="en-US" w:eastAsia="zh-CN" w:bidi="ar-SA"/>
        </w:rPr>
        <w:t>元；</w:t>
      </w:r>
    </w:p>
    <w:p>
      <w:pPr>
        <w:topLinePunct/>
        <w:ind w:firstLine="594" w:firstLineChars="200"/>
        <w:rPr>
          <w:rFonts w:hint="eastAsia" w:ascii="仿宋_GB2312" w:cstheme="minorBidi"/>
          <w:kern w:val="2"/>
          <w:sz w:val="32"/>
          <w:szCs w:val="32"/>
          <w:lang w:val="en-US" w:eastAsia="zh-CN" w:bidi="ar-SA"/>
        </w:rPr>
      </w:pPr>
      <w:r>
        <w:rPr>
          <w:rFonts w:hint="default" w:ascii="仿宋_GB2312" w:cstheme="minorBidi"/>
          <w:kern w:val="2"/>
          <w:sz w:val="32"/>
          <w:szCs w:val="32"/>
          <w:lang w:val="en-US" w:eastAsia="zh-CN" w:bidi="ar-SA"/>
        </w:rPr>
        <w:t>呈财社〔2022〕2号高新区（马金铺）片区社会事务经费（社会保障类）专项经费5,000.00</w:t>
      </w:r>
      <w:r>
        <w:rPr>
          <w:rFonts w:hint="eastAsia" w:ascii="仿宋_GB2312" w:cstheme="minorBidi"/>
          <w:kern w:val="2"/>
          <w:sz w:val="32"/>
          <w:szCs w:val="32"/>
          <w:lang w:val="en-US" w:eastAsia="zh-CN" w:bidi="ar-SA"/>
        </w:rPr>
        <w:t>元。</w:t>
      </w:r>
    </w:p>
    <w:p>
      <w:pPr>
        <w:topLinePunct/>
        <w:ind w:firstLine="594" w:firstLineChars="200"/>
        <w:rPr>
          <w:rFonts w:hint="default" w:ascii="仿宋_GB2312" w:cstheme="minorBidi"/>
          <w:kern w:val="2"/>
          <w:sz w:val="32"/>
          <w:szCs w:val="32"/>
          <w:lang w:val="en-US" w:eastAsia="zh-CN" w:bidi="ar-SA"/>
        </w:rPr>
      </w:pPr>
      <w:r>
        <w:rPr>
          <w:rFonts w:hint="default" w:ascii="仿宋_GB2312" w:cstheme="minorBidi"/>
          <w:kern w:val="2"/>
          <w:sz w:val="32"/>
          <w:szCs w:val="32"/>
          <w:lang w:val="en-US" w:eastAsia="zh-CN" w:bidi="ar-SA"/>
        </w:rPr>
        <w:t>按经济分类，其中：工资福利支出</w:t>
      </w:r>
      <w:r>
        <w:rPr>
          <w:rFonts w:hint="eastAsia" w:ascii="仿宋_GB2312" w:cstheme="minorBidi"/>
          <w:kern w:val="2"/>
          <w:sz w:val="32"/>
          <w:szCs w:val="32"/>
          <w:lang w:val="en-US" w:eastAsia="zh-CN" w:bidi="ar-SA"/>
        </w:rPr>
        <w:t>3,033,949.46</w:t>
      </w:r>
      <w:r>
        <w:rPr>
          <w:rFonts w:hint="default" w:ascii="仿宋_GB2312" w:cstheme="minorBidi"/>
          <w:kern w:val="2"/>
          <w:sz w:val="32"/>
          <w:szCs w:val="32"/>
          <w:lang w:val="en-US" w:eastAsia="zh-CN" w:bidi="ar-SA"/>
        </w:rPr>
        <w:t>元，商品和服务支出</w:t>
      </w:r>
      <w:r>
        <w:rPr>
          <w:rFonts w:hint="eastAsia" w:ascii="仿宋_GB2312" w:cstheme="minorBidi"/>
          <w:kern w:val="2"/>
          <w:sz w:val="32"/>
          <w:szCs w:val="32"/>
          <w:lang w:val="en-US" w:eastAsia="zh-CN" w:bidi="ar-SA"/>
        </w:rPr>
        <w:t>308,733.40</w:t>
      </w:r>
      <w:r>
        <w:rPr>
          <w:rFonts w:hint="default" w:ascii="仿宋_GB2312" w:cstheme="minorBidi"/>
          <w:kern w:val="2"/>
          <w:sz w:val="32"/>
          <w:szCs w:val="32"/>
          <w:lang w:val="en-US" w:eastAsia="zh-CN" w:bidi="ar-SA"/>
        </w:rPr>
        <w:t>元；对个人和家庭的补助支出</w:t>
      </w:r>
      <w:r>
        <w:rPr>
          <w:rFonts w:hint="eastAsia" w:ascii="仿宋_GB2312" w:cstheme="minorBidi"/>
          <w:kern w:val="2"/>
          <w:sz w:val="32"/>
          <w:szCs w:val="32"/>
          <w:lang w:val="en-US" w:eastAsia="zh-CN" w:bidi="ar-SA"/>
        </w:rPr>
        <w:t>16,800.00</w:t>
      </w:r>
      <w:r>
        <w:rPr>
          <w:rFonts w:hint="default" w:ascii="仿宋_GB2312" w:cstheme="minorBidi"/>
          <w:kern w:val="2"/>
          <w:sz w:val="32"/>
          <w:szCs w:val="32"/>
          <w:lang w:val="en-US" w:eastAsia="zh-CN" w:bidi="ar-SA"/>
        </w:rPr>
        <w:t>元；资本性支出</w:t>
      </w:r>
      <w:r>
        <w:rPr>
          <w:rFonts w:hint="eastAsia" w:ascii="仿宋_GB2312" w:cstheme="minorBidi"/>
          <w:kern w:val="2"/>
          <w:sz w:val="32"/>
          <w:szCs w:val="32"/>
          <w:lang w:val="en-US" w:eastAsia="zh-CN" w:bidi="ar-SA"/>
        </w:rPr>
        <w:t>0.00</w:t>
      </w:r>
      <w:r>
        <w:rPr>
          <w:rFonts w:hint="default" w:ascii="仿宋_GB2312" w:cstheme="minorBidi"/>
          <w:kern w:val="2"/>
          <w:sz w:val="32"/>
          <w:szCs w:val="32"/>
          <w:lang w:val="en-US" w:eastAsia="zh-CN" w:bidi="ar-SA"/>
        </w:rPr>
        <w:t>元。</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cstheme="minorBidi"/>
          <w:kern w:val="2"/>
          <w:sz w:val="32"/>
          <w:szCs w:val="32"/>
          <w:lang w:val="en-US" w:eastAsia="zh-CN" w:bidi="ar-SA"/>
        </w:rPr>
      </w:pPr>
      <w:r>
        <w:rPr>
          <w:rFonts w:hint="default" w:ascii="仿宋_GB2312" w:cstheme="minorBidi"/>
          <w:kern w:val="2"/>
          <w:sz w:val="32"/>
          <w:szCs w:val="32"/>
          <w:lang w:val="en-US" w:eastAsia="zh-CN" w:bidi="ar-SA"/>
        </w:rPr>
        <w:t>202</w:t>
      </w:r>
      <w:r>
        <w:rPr>
          <w:rFonts w:hint="eastAsia" w:ascii="仿宋_GB2312" w:cstheme="minorBidi"/>
          <w:kern w:val="2"/>
          <w:sz w:val="32"/>
          <w:szCs w:val="32"/>
          <w:lang w:val="en-US" w:eastAsia="zh-CN" w:bidi="ar-SA"/>
        </w:rPr>
        <w:t>2</w:t>
      </w:r>
      <w:r>
        <w:rPr>
          <w:rFonts w:hint="default" w:ascii="仿宋_GB2312" w:cstheme="minorBidi"/>
          <w:kern w:val="2"/>
          <w:sz w:val="32"/>
          <w:szCs w:val="32"/>
          <w:lang w:val="en-US" w:eastAsia="zh-CN" w:bidi="ar-SA"/>
        </w:rPr>
        <w:t>年昆明市呈贡区劳动监察大队年初预算4,400,982.72元，调整预算3,359,482.86元，年初预算完成率</w:t>
      </w:r>
      <w:r>
        <w:rPr>
          <w:rFonts w:hint="eastAsia" w:ascii="仿宋_GB2312" w:cstheme="minorBidi"/>
          <w:kern w:val="2"/>
          <w:sz w:val="32"/>
          <w:szCs w:val="32"/>
          <w:lang w:val="en-US" w:eastAsia="zh-CN" w:bidi="ar-SA"/>
        </w:rPr>
        <w:t>76</w:t>
      </w:r>
      <w:r>
        <w:rPr>
          <w:rFonts w:hint="default" w:ascii="仿宋_GB2312" w:cstheme="minorBidi"/>
          <w:kern w:val="2"/>
          <w:sz w:val="32"/>
          <w:szCs w:val="32"/>
          <w:lang w:val="en-US" w:eastAsia="zh-CN" w:bidi="ar-SA"/>
        </w:rPr>
        <w:t>%。</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cstheme="minorBidi"/>
          <w:kern w:val="2"/>
          <w:sz w:val="32"/>
          <w:szCs w:val="32"/>
          <w:lang w:val="en-US" w:eastAsia="zh-CN" w:bidi="ar-SA"/>
        </w:rPr>
      </w:pPr>
      <w:r>
        <w:rPr>
          <w:rFonts w:hint="default" w:ascii="仿宋_GB2312" w:cstheme="minorBidi"/>
          <w:kern w:val="2"/>
          <w:sz w:val="32"/>
          <w:szCs w:val="32"/>
          <w:lang w:val="en-US" w:eastAsia="zh-CN" w:bidi="ar-SA"/>
        </w:rPr>
        <w:t>202</w:t>
      </w:r>
      <w:r>
        <w:rPr>
          <w:rFonts w:hint="eastAsia" w:ascii="仿宋_GB2312" w:cstheme="minorBidi"/>
          <w:kern w:val="2"/>
          <w:sz w:val="32"/>
          <w:szCs w:val="32"/>
          <w:lang w:val="en-US" w:eastAsia="zh-CN" w:bidi="ar-SA"/>
        </w:rPr>
        <w:t>2</w:t>
      </w:r>
      <w:r>
        <w:rPr>
          <w:rFonts w:hint="default" w:ascii="仿宋_GB2312" w:cstheme="minorBidi"/>
          <w:kern w:val="2"/>
          <w:sz w:val="32"/>
          <w:szCs w:val="32"/>
          <w:lang w:val="en-US" w:eastAsia="zh-CN" w:bidi="ar-SA"/>
        </w:rPr>
        <w:t>年昆明市呈贡区劳动监察大队收支平衡，无年末结转和结余。</w:t>
      </w:r>
    </w:p>
    <w:p>
      <w:pPr>
        <w:numPr>
          <w:ilvl w:val="0"/>
          <w:numId w:val="1"/>
        </w:numPr>
        <w:topLinePunct/>
        <w:ind w:firstLine="594" w:firstLineChars="200"/>
        <w:rPr>
          <w:rFonts w:hint="eastAsia" w:ascii="仿宋_GB2312"/>
          <w:szCs w:val="32"/>
        </w:rPr>
      </w:pPr>
      <w:r>
        <w:rPr>
          <w:rFonts w:hint="eastAsia" w:ascii="仿宋_GB2312"/>
          <w:szCs w:val="32"/>
        </w:rPr>
        <w:t>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明确目标任务，有序开展工作。</w:t>
      </w:r>
      <w:r>
        <w:rPr>
          <w:rFonts w:hint="eastAsia" w:ascii="仿宋_GB2312"/>
          <w:b w:val="0"/>
          <w:bCs w:val="0"/>
          <w:szCs w:val="32"/>
        </w:rPr>
        <w:t>2022年，呈贡区劳动监察大队围绕“治理欠薪、保障工资支付、维护劳动权益”工作目标任务，积极对标先进，履职尽责、主动作为，在面临房地产领域市场下行，房地产建设项目欠薪多发、欠薪原因复杂和涉及人数多金额大导致案件处置难度增大的劳动保障形势下，今年从欠薪线索处置、现场监管检查、普法宣传、加强执法力度和多部门联合处置等多方面入手，切实加强了全区的劳动保障工作。截至目前，共计立案处理劳动保障案件41件，涉及1352人，2162.379万元，其中待移交法院执行案件涉及385人，1054.919万元。劳动保障监察举报投诉、拖欠农民工工资案件受理、结案率达100%。</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val="0"/>
          <w:bCs w:val="0"/>
          <w:szCs w:val="32"/>
        </w:rPr>
        <w:t>今年以来，共排查建筑企业120余人次，其中，政府投资项目已排查完毕，共5个10人次，国企项目18个33人次；检查职业教育培训机构7家；检查劳务派遣企业及人力资源服务机构27家；检查在建工程项目用人单位10家。对违反劳动保障法律法规的7家用人单位作出行政处罚，罚款共计20.7万元。</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强化信息公开，接受社会监督。</w:t>
      </w:r>
      <w:r>
        <w:rPr>
          <w:rFonts w:hint="eastAsia" w:ascii="仿宋_GB2312"/>
          <w:b w:val="0"/>
          <w:bCs w:val="0"/>
          <w:szCs w:val="32"/>
        </w:rPr>
        <w:t>202</w:t>
      </w:r>
      <w:r>
        <w:rPr>
          <w:rFonts w:hint="eastAsia" w:ascii="仿宋_GB2312"/>
          <w:b w:val="0"/>
          <w:bCs w:val="0"/>
          <w:szCs w:val="32"/>
          <w:lang w:val="en-US" w:eastAsia="zh-CN"/>
        </w:rPr>
        <w:t>2</w:t>
      </w:r>
      <w:r>
        <w:rPr>
          <w:rFonts w:hint="eastAsia" w:ascii="仿宋_GB2312"/>
          <w:b w:val="0"/>
          <w:bCs w:val="0"/>
          <w:szCs w:val="32"/>
        </w:rPr>
        <w:t>年度呈贡区劳动监察大队严格按照呈贡区财政局的相关要求按时将部门预算在呈贡区政府门户网站进行了公开，接受社会监督，并按时向区财政局规口管理的社保科报送公开相关材料。</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盘活财政存量资金，加强资金管理。</w:t>
      </w:r>
      <w:r>
        <w:rPr>
          <w:rFonts w:hint="eastAsia" w:ascii="仿宋_GB2312"/>
          <w:b w:val="0"/>
          <w:bCs w:val="0"/>
          <w:szCs w:val="32"/>
        </w:rPr>
        <w:t>认真按照《中华人民共和国预算法》、《中华人民共和国会计法》、《会计基础工作规范》及预算管理、绩效管理、资产管理、内部控制相关规定开展工作，对照资金使用办法和报销流程，严格资金审批使用管理，对符合使用条件的项目，按照相关流程进行拨付使用，以保证单位财务会计管理的合法合规，财务报告及数据信息真实性、完整性、规范性。</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严格单位资产管理。</w:t>
      </w:r>
      <w:r>
        <w:rPr>
          <w:rFonts w:hint="eastAsia" w:ascii="仿宋_GB2312"/>
          <w:b w:val="0"/>
          <w:bCs w:val="0"/>
          <w:szCs w:val="32"/>
        </w:rPr>
        <w:t>按照区财政局国有资产管理要求，对资产实行“统一领导，归口管理”，由办公室进行固定资产登记、建账、核算和管理，所有固定资产的购买、领用、收回、核销、报废等手续均由办公室负责，政府采购后及时入账并录入固定资产管理系统，做到账实相符、账账相符。</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严控“三公”经费支出，实现“三公”经费负增长。</w:t>
      </w:r>
      <w:r>
        <w:rPr>
          <w:rFonts w:hint="eastAsia" w:ascii="仿宋_GB2312"/>
          <w:b w:val="0"/>
          <w:bCs w:val="0"/>
          <w:szCs w:val="32"/>
        </w:rPr>
        <w:t>“三公”经费本着励行节约的原则逐年减少，202</w:t>
      </w:r>
      <w:r>
        <w:rPr>
          <w:rFonts w:hint="eastAsia" w:ascii="仿宋_GB2312"/>
          <w:b w:val="0"/>
          <w:bCs w:val="0"/>
          <w:szCs w:val="32"/>
          <w:lang w:val="en-US" w:eastAsia="zh-CN"/>
        </w:rPr>
        <w:t>2</w:t>
      </w:r>
      <w:r>
        <w:rPr>
          <w:rFonts w:hint="eastAsia" w:ascii="仿宋_GB2312"/>
          <w:b w:val="0"/>
          <w:bCs w:val="0"/>
          <w:szCs w:val="32"/>
        </w:rPr>
        <w:t>年度无公务接待、因公出国（境）支出及公务用车运行维护费支出，严格遵守中央八项规定，厉行节约。</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继续完善内部管理制度，强化制度管理。</w:t>
      </w:r>
      <w:r>
        <w:rPr>
          <w:rFonts w:hint="eastAsia" w:ascii="仿宋_GB2312"/>
          <w:b w:val="0"/>
          <w:bCs w:val="0"/>
          <w:szCs w:val="32"/>
        </w:rPr>
        <w:t>202</w:t>
      </w:r>
      <w:r>
        <w:rPr>
          <w:rFonts w:hint="eastAsia" w:ascii="仿宋_GB2312"/>
          <w:b w:val="0"/>
          <w:bCs w:val="0"/>
          <w:szCs w:val="32"/>
          <w:lang w:val="en-US" w:eastAsia="zh-CN"/>
        </w:rPr>
        <w:t>2</w:t>
      </w:r>
      <w:r>
        <w:rPr>
          <w:rFonts w:hint="eastAsia" w:ascii="仿宋_GB2312"/>
          <w:b w:val="0"/>
          <w:bCs w:val="0"/>
          <w:szCs w:val="32"/>
        </w:rPr>
        <w:t>年度昆明市呈贡区劳动监察大队继续完善呈贡区劳动监察大队各项工作职责及制度汇编，结合工作实际，成立区大队内部控制规范领导小组，负责内部控制规范有关工作的日常工作，进一步加强经费管理，规范财务报销行为，有效防范经济活动风险。</w:t>
      </w:r>
    </w:p>
    <w:p>
      <w:pPr>
        <w:numPr>
          <w:ilvl w:val="0"/>
          <w:numId w:val="1"/>
        </w:numPr>
        <w:topLinePunct/>
        <w:ind w:left="0" w:leftChars="0" w:firstLine="594" w:firstLineChars="200"/>
        <w:rPr>
          <w:rFonts w:hint="eastAsia" w:ascii="仿宋_GB2312"/>
          <w:szCs w:val="32"/>
        </w:rPr>
      </w:pPr>
      <w:r>
        <w:rPr>
          <w:rFonts w:hint="eastAsia" w:ascii="仿宋_GB2312"/>
          <w:szCs w:val="32"/>
        </w:rPr>
        <w:t>部门整体支出或项目实施情况分析，主要包括资金到位、资金使用、资金管理、项目组织和项目管理情况分析等。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rPr>
        <w:t>202</w:t>
      </w:r>
      <w:r>
        <w:rPr>
          <w:rFonts w:hint="eastAsia" w:ascii="仿宋_GB2312"/>
          <w:szCs w:val="32"/>
          <w:lang w:val="en-US" w:eastAsia="zh-CN"/>
        </w:rPr>
        <w:t>2</w:t>
      </w:r>
      <w:r>
        <w:rPr>
          <w:rFonts w:hint="eastAsia" w:ascii="仿宋_GB2312"/>
          <w:szCs w:val="32"/>
        </w:rPr>
        <w:t>年，资金到位3,359,482.86元，资金使用3,359,482.86元，资金到位率100%。资金管理和使用严格依照财政法规和财经纪律执行，未出现违规情况。</w:t>
      </w:r>
    </w:p>
    <w:p>
      <w:pPr>
        <w:topLinePunct/>
        <w:ind w:firstLine="594" w:firstLineChars="200"/>
        <w:rPr>
          <w:rFonts w:ascii="黑体" w:eastAsia="黑体"/>
          <w:szCs w:val="32"/>
        </w:rPr>
      </w:pPr>
      <w:r>
        <w:rPr>
          <w:rFonts w:hint="eastAsia" w:ascii="黑体" w:eastAsia="黑体"/>
          <w:szCs w:val="32"/>
        </w:rPr>
        <w:t>二、绩效评价工作情况</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绩效评价目的。</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绩效评价，全面分析和综合评价我单位财政预算资金的使用管理情况，客观反映资产管理情况、“三公”经费控制及预决算公开情况、存量资金管理情况，进一步推进监察工作的制度化、规范化和程序化建设，为切实提高财政资金使用效益，强化预算支出的责任和效率提供参考依据。同时，通过绩效评价，把握部门整体支出情况，从部门整体投入、过程管理、单位整体履职情况及单位整体履职效益等方面找出单位行政运行中存在的问题，紧扣提高行政效能的主题，提出相应的改进意见和建议，以提高部门绩效管理意识，切实推进绩效管理，完善预算管理制度、创新机制、加强管理、强化监督，保证单位整体运行及资金使用管理的规范性、安全性和有效性，提高部门的工作效率和资金使用效益。最后，总结部门整体支出绩效评价的试点经验，为下一步部门整体支出绩效评价的逐步推广积累经验奠定基础。</w:t>
      </w:r>
    </w:p>
    <w:p>
      <w:pPr>
        <w:numPr>
          <w:ilvl w:val="0"/>
          <w:numId w:val="2"/>
        </w:num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绩效评价工作过程，主要包括前期准备、组织实施和分析评价等内容。</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1.前期准备。根据财政支出绩效评价工作安排，组成由</w:t>
      </w:r>
      <w:r>
        <w:rPr>
          <w:rFonts w:hint="eastAsia" w:ascii="仿宋_GB2312" w:hAnsi="仿宋_GB2312" w:eastAsia="仿宋_GB2312" w:cs="仿宋_GB2312"/>
          <w:sz w:val="32"/>
          <w:szCs w:val="32"/>
          <w:highlight w:val="none"/>
        </w:rPr>
        <w:t>李佩薇同志任组长的绩效评价工作组，负责本单位的绩</w:t>
      </w:r>
      <w:r>
        <w:rPr>
          <w:rFonts w:hint="eastAsia" w:ascii="仿宋_GB2312" w:hAnsi="仿宋_GB2312" w:eastAsia="仿宋_GB2312" w:cs="仿宋_GB2312"/>
          <w:sz w:val="32"/>
          <w:szCs w:val="32"/>
        </w:rPr>
        <w:t>效评价工作的组织领导和具体实施，开展前期调研，收集与绩效评价相关的文件资料，为研究制定绩效评价工作方案做好前期准备。</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2.研究制定绩效评价实施方案。根据绩效评价工作组的整体要求和部署，在前期调研的基础上，在与相关业务科室和财政部门进行密切配合和沟通反馈的基础上研究制定202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年度部门整体支出绩效评价实施方案。</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3.收集基础数据和实施具体评价工作。绩效评价工作组根据绩效评价实施方案和评价指标体系的要求开展实施具体评价工作，对呈贡区劳动监察大队202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年度部门整体绩效进行综合性评价，并获取相关的基础数据资料，完成绩效评价报告初稿。</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4.形成绩效评价正式报告。绩效评价工作组根据相关建议和意见对绩效评价报告进行修改完善，并形成正式的绩效评价报告。</w:t>
      </w:r>
    </w:p>
    <w:p>
      <w:pPr>
        <w:topLinePunct/>
        <w:ind w:firstLine="594" w:firstLineChars="200"/>
        <w:rPr>
          <w:rFonts w:ascii="黑体" w:eastAsia="黑体"/>
          <w:szCs w:val="32"/>
        </w:rPr>
      </w:pPr>
      <w:r>
        <w:rPr>
          <w:rFonts w:hint="eastAsia" w:ascii="黑体" w:eastAsia="黑体"/>
          <w:szCs w:val="32"/>
        </w:rPr>
        <w:t>三、主要绩效及评价结论</w:t>
      </w:r>
    </w:p>
    <w:p>
      <w:pPr>
        <w:topLinePunct/>
        <w:ind w:firstLine="594" w:firstLineChars="200"/>
        <w:jc w:val="both"/>
        <w:rPr>
          <w:rFonts w:hint="eastAsia" w:ascii="仿宋_GB2312"/>
          <w:szCs w:val="32"/>
        </w:rPr>
      </w:pPr>
      <w:r>
        <w:rPr>
          <w:rFonts w:ascii="仿宋_GB2312"/>
          <w:szCs w:val="32"/>
        </w:rPr>
        <w:t>1</w:t>
      </w:r>
      <w:r>
        <w:rPr>
          <w:rFonts w:hint="eastAsia" w:ascii="仿宋_GB2312"/>
          <w:szCs w:val="32"/>
        </w:rPr>
        <w:t>、经济性分析，主要包括成本（预算）控制情况和成本（预算）节约情况。</w:t>
      </w:r>
    </w:p>
    <w:p>
      <w:pPr>
        <w:topLinePunct/>
        <w:ind w:firstLine="594" w:firstLineChars="200"/>
        <w:jc w:val="both"/>
        <w:rPr>
          <w:rFonts w:hint="eastAsia" w:ascii="仿宋_GB2312"/>
          <w:szCs w:val="32"/>
        </w:rPr>
      </w:pPr>
      <w:r>
        <w:rPr>
          <w:rFonts w:hint="eastAsia" w:ascii="仿宋_GB2312"/>
          <w:szCs w:val="32"/>
        </w:rPr>
        <w:t>202</w:t>
      </w:r>
      <w:r>
        <w:rPr>
          <w:rFonts w:hint="eastAsia" w:ascii="仿宋_GB2312"/>
          <w:szCs w:val="32"/>
          <w:lang w:val="en-US" w:eastAsia="zh-CN"/>
        </w:rPr>
        <w:t>2</w:t>
      </w:r>
      <w:r>
        <w:rPr>
          <w:rFonts w:hint="eastAsia" w:ascii="仿宋_GB2312"/>
          <w:szCs w:val="32"/>
        </w:rPr>
        <w:t>年呈贡区劳动监察大队整体支出按照区财政局下达的预算批复，对于基本支出中的工资福利支出、对个人和家庭补助支出按照实际在编人员及进度均衡支付；对于商品和服务支出按照下达预算执行，实现内部报告审批制度，监控支出情况；对于项目支出的经费使用情进行监督检查，按审批程序办理支付手续。“三公”经费本着励行节约的原则，实现了“三公”经费的逐年减少，节约了办事成本。</w:t>
      </w:r>
    </w:p>
    <w:p>
      <w:pPr>
        <w:numPr>
          <w:ilvl w:val="0"/>
          <w:numId w:val="3"/>
        </w:numPr>
        <w:topLinePunct/>
        <w:ind w:firstLine="594" w:firstLineChars="200"/>
        <w:jc w:val="both"/>
        <w:rPr>
          <w:rFonts w:hint="eastAsia" w:ascii="仿宋_GB2312"/>
          <w:szCs w:val="32"/>
        </w:rPr>
      </w:pPr>
      <w:r>
        <w:rPr>
          <w:rFonts w:hint="eastAsia" w:ascii="仿宋_GB2312"/>
          <w:szCs w:val="32"/>
        </w:rPr>
        <w:t>效率性分析，主要包括实施进度和完成质量。</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一是实施进度。</w:t>
      </w:r>
      <w:r>
        <w:rPr>
          <w:rFonts w:hint="eastAsia" w:ascii="仿宋_GB2312"/>
          <w:szCs w:val="32"/>
          <w:lang w:eastAsia="zh-CN"/>
        </w:rPr>
        <w:t>2022</w:t>
      </w:r>
      <w:r>
        <w:rPr>
          <w:rFonts w:hint="eastAsia" w:ascii="仿宋_GB2312"/>
          <w:szCs w:val="32"/>
        </w:rPr>
        <w:t>年呈贡区劳动监察大队结合本部门工作时际，年初拟定工作计划，做到早计划早安排，各项工作提前谋划，各项资金按工作开展进度使用，财政资金使用进度排在全区前列。</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二是完成质量。</w:t>
      </w:r>
      <w:r>
        <w:rPr>
          <w:rFonts w:hint="eastAsia" w:ascii="仿宋_GB2312"/>
          <w:szCs w:val="32"/>
          <w:lang w:eastAsia="zh-CN"/>
        </w:rPr>
        <w:t>2022</w:t>
      </w:r>
      <w:r>
        <w:rPr>
          <w:rFonts w:hint="eastAsia" w:ascii="仿宋_GB2312"/>
          <w:szCs w:val="32"/>
        </w:rPr>
        <w:t>年呈贡区劳动监察大队在区委、区政府的正确领导下认真开展根据劳动保障等相关法律法规的要求，宣传劳动保障法律、法规和规章，督促用人单位贯彻执行、负责监督检查用人单位遵守劳动保障法律、法规和规章的情况、受理对违反劳动保障法律、法规或者规章的行为的举报、投诉、依法纠正和查处违反劳动保障法律、法规或者规章的行为、协助做好劳动争议案件的调查取证和调解工作或移交劳动争议仲裁委员会处理、妥善处理集体上访、企业职工罢工等突发事件，协调劳动关系，维护社会稳定等工作，圆满完成了区委、区政府下达给我单位的目标任务。</w:t>
      </w:r>
    </w:p>
    <w:p>
      <w:pPr>
        <w:numPr>
          <w:ilvl w:val="0"/>
          <w:numId w:val="3"/>
        </w:numPr>
        <w:topLinePunct/>
        <w:ind w:left="0" w:leftChars="0" w:firstLine="594" w:firstLineChars="200"/>
        <w:jc w:val="both"/>
        <w:rPr>
          <w:rFonts w:hint="eastAsia" w:ascii="仿宋_GB2312"/>
          <w:szCs w:val="32"/>
        </w:rPr>
      </w:pPr>
      <w:r>
        <w:rPr>
          <w:rFonts w:hint="eastAsia" w:ascii="仿宋_GB2312"/>
          <w:szCs w:val="32"/>
        </w:rPr>
        <w:t>效益性分析，主要包括预期目标完成程度和对经济和社会的影响等。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昆明市呈贡区劳动监察大队202</w:t>
      </w:r>
      <w:r>
        <w:rPr>
          <w:rFonts w:hint="eastAsia" w:ascii="仿宋_GB2312"/>
          <w:szCs w:val="32"/>
          <w:lang w:val="en-US" w:eastAsia="zh-CN"/>
        </w:rPr>
        <w:t>2</w:t>
      </w:r>
      <w:r>
        <w:rPr>
          <w:rFonts w:hint="eastAsia" w:ascii="仿宋_GB2312"/>
          <w:szCs w:val="32"/>
        </w:rPr>
        <w:t>年预算项目共计3个，各项目均按照年初预算安排及资金管理使用要求，按照时间节点及工作内容有序支出，充分发挥劳动保障监察的职能作用，以维护劳动者合法权益为宗旨，以规范劳动用工、清欠农民工工资、查处各类违反案件、处理群体性突发事件为重点，完成劳动保障监察工作责任目标。不断加强对各用人单位监管力度，以维护劳动者合法权益为宗旨，以规范劳动力市场秩序、查处各类违反劳动法案件为突破口，充分发挥劳动保障监察的职能作用，努力发展和谐劳动关系，切实维护劳动者合法权益，较好地完成各类监察工作任务，促进我区劳动关系的和谐稳定。劳动关系向和谐推进，劳动监察向预防延伸，劳动维权向人性化迈进，劳动执法向规范化运行。</w:t>
      </w:r>
    </w:p>
    <w:p>
      <w:pPr>
        <w:topLinePunct/>
        <w:ind w:firstLine="594" w:firstLineChars="200"/>
        <w:jc w:val="both"/>
        <w:rPr>
          <w:rFonts w:ascii="仿宋_GB2312"/>
          <w:szCs w:val="32"/>
        </w:rPr>
      </w:pPr>
      <w:r>
        <w:rPr>
          <w:rFonts w:hint="eastAsia" w:ascii="仿宋_GB2312"/>
          <w:szCs w:val="32"/>
        </w:rPr>
        <w:t>关于绩效情况的分析既可从以上三个方面进行归纳，也可以把以上三个方面的内容融入到实施取得的显著成效中进行说明。</w:t>
      </w:r>
    </w:p>
    <w:p>
      <w:pPr>
        <w:numPr>
          <w:ilvl w:val="0"/>
          <w:numId w:val="4"/>
        </w:numPr>
        <w:topLinePunct/>
        <w:ind w:firstLine="594" w:firstLineChars="200"/>
        <w:rPr>
          <w:rFonts w:hint="eastAsia" w:ascii="黑体" w:eastAsia="黑体"/>
          <w:szCs w:val="32"/>
        </w:rPr>
      </w:pPr>
      <w:r>
        <w:rPr>
          <w:rFonts w:hint="eastAsia" w:ascii="黑体" w:eastAsia="黑体"/>
          <w:szCs w:val="32"/>
        </w:rPr>
        <w:t>存在的问题</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在编制部门年度预算时，虽已以本单位职能职责和年度工作计划为根据，但实际预算执行过程中，在资金安排和使用上仍存在不可预见性，导致一些项目资金无法如期支出或无法预计列入年初预算，需要在年度中间进行预算调整和追加等问题。</w:t>
      </w:r>
    </w:p>
    <w:p>
      <w:pPr>
        <w:numPr>
          <w:ilvl w:val="0"/>
          <w:numId w:val="4"/>
        </w:numPr>
        <w:topLinePunct/>
        <w:ind w:left="0" w:leftChars="0" w:firstLine="594" w:firstLineChars="200"/>
        <w:rPr>
          <w:rFonts w:hint="eastAsia" w:ascii="黑体" w:eastAsia="黑体"/>
          <w:szCs w:val="32"/>
        </w:rPr>
      </w:pPr>
      <w:r>
        <w:rPr>
          <w:rFonts w:hint="eastAsia" w:ascii="黑体" w:eastAsia="黑体"/>
          <w:szCs w:val="32"/>
        </w:rPr>
        <w:t>有关建议</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黑体" w:eastAsia="黑体"/>
          <w:szCs w:val="32"/>
        </w:rPr>
      </w:pPr>
      <w:r>
        <w:rPr>
          <w:rFonts w:hint="eastAsia" w:ascii="仿宋_GB2312"/>
          <w:szCs w:val="32"/>
        </w:rPr>
        <w:t>一是严格预算绩效目标申报，对重点项目资金投入大的项目辅助明细绩效申报，列明资金总投入、作用和效果，对项目和资金的全过程进行管理和监督。二是扩大对重点项目绩效运行的监控范围，跟踪查找管理薄弱环节，及时堵塞管理“漏洞”，纠正执行偏差。三是完善绩效评价制度办法，逐步形成有特色的支出绩效管理制度体系。</w:t>
      </w:r>
    </w:p>
    <w:p>
      <w:pPr>
        <w:topLinePunct/>
        <w:ind w:firstLine="594" w:firstLineChars="200"/>
        <w:rPr>
          <w:rFonts w:ascii="黑体" w:eastAsia="黑体"/>
          <w:szCs w:val="32"/>
        </w:rPr>
      </w:pPr>
      <w:r>
        <w:rPr>
          <w:rFonts w:hint="eastAsia" w:ascii="黑体" w:eastAsia="黑体"/>
          <w:szCs w:val="32"/>
        </w:rPr>
        <w:t>六、其他需要说明的问题</w:t>
      </w:r>
    </w:p>
    <w:p>
      <w:pPr>
        <w:rPr>
          <w:rFonts w:hint="eastAsia"/>
          <w:lang w:val="en-US" w:eastAsia="zh-CN"/>
        </w:rPr>
      </w:pPr>
      <w:r>
        <w:rPr>
          <w:rFonts w:hint="eastAsia"/>
          <w:lang w:val="en-US" w:eastAsia="zh-CN"/>
        </w:rPr>
        <w:t>无</w:t>
      </w:r>
    </w:p>
    <w:p>
      <w:pPr>
        <w:rPr>
          <w:rFonts w:hint="eastAsia"/>
          <w:lang w:val="en-US" w:eastAsia="zh-CN"/>
        </w:rPr>
      </w:pPr>
    </w:p>
    <w:p>
      <w:pPr>
        <w:rPr>
          <w:rFonts w:hint="eastAsia"/>
          <w:lang w:val="en-US" w:eastAsia="zh-CN"/>
        </w:rPr>
      </w:pPr>
    </w:p>
    <w:p>
      <w:pPr>
        <w:pStyle w:val="4"/>
        <w:jc w:val="righ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昆明市呈贡区</w:t>
      </w:r>
      <w:r>
        <w:rPr>
          <w:rFonts w:hint="eastAsia" w:eastAsia="仿宋_GB2312" w:cs="Times New Roman"/>
          <w:kern w:val="2"/>
          <w:sz w:val="32"/>
          <w:szCs w:val="32"/>
          <w:lang w:val="en-US" w:eastAsia="zh-CN" w:bidi="ar-SA"/>
        </w:rPr>
        <w:t>劳动监察大队</w:t>
      </w:r>
    </w:p>
    <w:p>
      <w:pPr>
        <w:jc w:val="right"/>
        <w:rPr>
          <w:rFonts w:hint="eastAsia"/>
          <w:lang w:val="en-US" w:eastAsia="zh-CN"/>
        </w:rPr>
      </w:pPr>
      <w:r>
        <w:rPr>
          <w:rFonts w:hint="eastAsia" w:ascii="Times New Roman" w:hAnsi="Times New Roman" w:eastAsia="仿宋_GB2312" w:cs="Times New Roman"/>
          <w:kern w:val="2"/>
          <w:sz w:val="32"/>
          <w:szCs w:val="32"/>
          <w:lang w:val="en-US" w:eastAsia="zh-CN" w:bidi="ar-SA"/>
        </w:rPr>
        <w:t>202</w:t>
      </w:r>
      <w:r>
        <w:rPr>
          <w:rFonts w:hint="eastAsia" w:ascii="Times New Roman" w:hAnsi="Times New Roman"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年</w:t>
      </w:r>
      <w:r>
        <w:rPr>
          <w:rFonts w:hint="eastAsia" w:ascii="Times New Roman" w:hAnsi="Times New Roman"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月</w:t>
      </w:r>
      <w:r>
        <w:rPr>
          <w:rFonts w:hint="eastAsia" w:ascii="Times New Roman" w:hAnsi="Times New Roman" w:cs="Times New Roman"/>
          <w:kern w:val="2"/>
          <w:sz w:val="32"/>
          <w:szCs w:val="32"/>
          <w:lang w:val="en-US" w:eastAsia="zh-CN" w:bidi="ar-SA"/>
        </w:rPr>
        <w:t>10</w:t>
      </w:r>
      <w:bookmarkStart w:id="0" w:name="_GoBack"/>
      <w:bookmarkEnd w:id="0"/>
      <w:r>
        <w:rPr>
          <w:rFonts w:hint="eastAsia" w:ascii="Times New Roman" w:hAnsi="Times New Roman" w:eastAsia="仿宋_GB2312" w:cs="Times New Roman"/>
          <w:kern w:val="2"/>
          <w:sz w:val="32"/>
          <w:szCs w:val="32"/>
          <w:lang w:val="en-US" w:eastAsia="zh-CN" w:bidi="ar-SA"/>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7604B"/>
    <w:multiLevelType w:val="singleLevel"/>
    <w:tmpl w:val="06C7604B"/>
    <w:lvl w:ilvl="0" w:tentative="0">
      <w:start w:val="4"/>
      <w:numFmt w:val="chineseCounting"/>
      <w:suff w:val="nothing"/>
      <w:lvlText w:val="%1、"/>
      <w:lvlJc w:val="left"/>
      <w:rPr>
        <w:rFonts w:hint="eastAsia"/>
      </w:rPr>
    </w:lvl>
  </w:abstractNum>
  <w:abstractNum w:abstractNumId="1">
    <w:nsid w:val="160C651C"/>
    <w:multiLevelType w:val="singleLevel"/>
    <w:tmpl w:val="160C651C"/>
    <w:lvl w:ilvl="0" w:tentative="0">
      <w:start w:val="2"/>
      <w:numFmt w:val="decimal"/>
      <w:suff w:val="nothing"/>
      <w:lvlText w:val="%1、"/>
      <w:lvlJc w:val="left"/>
    </w:lvl>
  </w:abstractNum>
  <w:abstractNum w:abstractNumId="2">
    <w:nsid w:val="3F678FB4"/>
    <w:multiLevelType w:val="singleLevel"/>
    <w:tmpl w:val="3F678FB4"/>
    <w:lvl w:ilvl="0" w:tentative="0">
      <w:start w:val="2"/>
      <w:numFmt w:val="chineseCounting"/>
      <w:suff w:val="nothing"/>
      <w:lvlText w:val="（%1）"/>
      <w:lvlJc w:val="left"/>
      <w:rPr>
        <w:rFonts w:hint="eastAsia"/>
      </w:rPr>
    </w:lvl>
  </w:abstractNum>
  <w:abstractNum w:abstractNumId="3">
    <w:nsid w:val="65043D1D"/>
    <w:multiLevelType w:val="singleLevel"/>
    <w:tmpl w:val="65043D1D"/>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VlNTg1NWQxZTJjZWM5M2ZjYmRmYTJkMDQxZjMifQ=="/>
  </w:docVars>
  <w:rsids>
    <w:rsidRoot w:val="00000000"/>
    <w:rsid w:val="000E76AA"/>
    <w:rsid w:val="16FD45D7"/>
    <w:rsid w:val="17490C92"/>
    <w:rsid w:val="1A055A28"/>
    <w:rsid w:val="24AD6920"/>
    <w:rsid w:val="3A2F7A31"/>
    <w:rsid w:val="40B2169B"/>
    <w:rsid w:val="411B32C9"/>
    <w:rsid w:val="42375875"/>
    <w:rsid w:val="55155338"/>
    <w:rsid w:val="6DBE2E6B"/>
    <w:rsid w:val="74AA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实施方案正文"/>
    <w:basedOn w:val="5"/>
    <w:qFormat/>
    <w:uiPriority w:val="0"/>
    <w:pPr>
      <w:ind w:firstLine="566" w:firstLineChars="202"/>
    </w:pPr>
    <w:rPr>
      <w:szCs w:val="28"/>
    </w:rPr>
  </w:style>
  <w:style w:type="paragraph" w:customStyle="1" w:styleId="5">
    <w:name w:val="正文 New"/>
    <w:next w:val="4"/>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3670</Words>
  <Characters>3963</Characters>
  <Lines>0</Lines>
  <Paragraphs>0</Paragraphs>
  <TotalTime>0</TotalTime>
  <ScaleCrop>false</ScaleCrop>
  <LinksUpToDate>false</LinksUpToDate>
  <CharactersWithSpaces>3963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喀叽喀叽～芥子</cp:lastModifiedBy>
  <dcterms:modified xsi:type="dcterms:W3CDTF">2023-04-06T07:16:58Z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5D7BE93EE77B452880F1F20F916BF185_12</vt:lpwstr>
  </property>
</Properties>
</file>