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仿宋简体" w:hAnsi="方正仿宋简体" w:eastAsia="方正仿宋简体" w:cs="方正仿宋简体"/>
          <w:sz w:val="44"/>
          <w:szCs w:val="44"/>
        </w:rPr>
      </w:pPr>
      <w:r>
        <w:rPr>
          <w:rFonts w:hint="eastAsia" w:ascii="方正仿宋简体" w:hAnsi="方正仿宋简体" w:eastAsia="方正仿宋简体" w:cs="方正仿宋简体"/>
          <w:sz w:val="44"/>
          <w:szCs w:val="44"/>
          <w:lang w:eastAsia="zh-CN"/>
        </w:rPr>
        <w:t>昆明市</w:t>
      </w:r>
      <w:r>
        <w:rPr>
          <w:rFonts w:hint="eastAsia" w:ascii="方正仿宋简体" w:hAnsi="方正仿宋简体" w:eastAsia="方正仿宋简体" w:cs="方正仿宋简体"/>
          <w:sz w:val="44"/>
          <w:szCs w:val="44"/>
        </w:rPr>
        <w:t>呈贡区洛龙街道社区卫生服务中心关于20</w:t>
      </w:r>
      <w:r>
        <w:rPr>
          <w:rFonts w:hint="eastAsia" w:ascii="方正仿宋简体" w:hAnsi="方正仿宋简体" w:eastAsia="方正仿宋简体" w:cs="方正仿宋简体"/>
          <w:sz w:val="44"/>
          <w:szCs w:val="44"/>
          <w:lang w:val="en-US" w:eastAsia="zh-CN"/>
        </w:rPr>
        <w:t>22</w:t>
      </w:r>
      <w:r>
        <w:rPr>
          <w:rFonts w:hint="eastAsia" w:ascii="方正仿宋简体" w:hAnsi="方正仿宋简体" w:eastAsia="方正仿宋简体" w:cs="方正仿宋简体"/>
          <w:sz w:val="44"/>
          <w:szCs w:val="44"/>
        </w:rPr>
        <w:t>年项目支出绩效评价报告</w:t>
      </w:r>
    </w:p>
    <w:p>
      <w:pPr>
        <w:spacing w:line="600" w:lineRule="exact"/>
        <w:ind w:firstLine="594" w:firstLineChars="200"/>
        <w:rPr>
          <w:rFonts w:ascii="仿宋_GB2312"/>
          <w:b/>
          <w:szCs w:val="32"/>
        </w:rPr>
      </w:pPr>
    </w:p>
    <w:p>
      <w:pPr>
        <w:spacing w:line="600" w:lineRule="exact"/>
        <w:ind w:firstLine="594" w:firstLineChars="200"/>
        <w:rPr>
          <w:rFonts w:ascii="仿宋_GB2312"/>
          <w:b/>
          <w:szCs w:val="32"/>
        </w:rPr>
      </w:pPr>
    </w:p>
    <w:p>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单位基本概况</w:t>
      </w:r>
    </w:p>
    <w:p>
      <w:pPr>
        <w:keepNext w:val="0"/>
        <w:keepLines w:val="0"/>
        <w:pageBreakBefore w:val="0"/>
        <w:widowControl w:val="0"/>
        <w:kinsoku/>
        <w:wordWrap/>
        <w:overflowPunct/>
        <w:topLine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1、主要职能</w:t>
      </w:r>
    </w:p>
    <w:p>
      <w:pPr>
        <w:keepNext w:val="0"/>
        <w:keepLines w:val="0"/>
        <w:pageBreakBefore w:val="0"/>
        <w:widowControl w:val="0"/>
        <w:kinsoku/>
        <w:wordWrap/>
        <w:overflowPunct/>
        <w:topLinePunct/>
        <w:autoSpaceDE/>
        <w:autoSpaceDN/>
        <w:bidi w:val="0"/>
        <w:adjustRightInd/>
        <w:snapToGrid/>
        <w:spacing w:line="240" w:lineRule="auto"/>
        <w:ind w:left="594" w:leftChars="20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开展“基本医疗、预防、保健、康复、健康教育、计划生育咨询指导”等综合的社区卫生服务工作，并对辖区社区卫生服务站（居委会卫生室）进行管理。</w:t>
      </w:r>
    </w:p>
    <w:p>
      <w:pPr>
        <w:keepNext w:val="0"/>
        <w:keepLines w:val="0"/>
        <w:pageBreakBefore w:val="0"/>
        <w:widowControl w:val="0"/>
        <w:kinsoku/>
        <w:wordWrap/>
        <w:overflowPunct/>
        <w:topLine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2、部门人员编制及实有情况</w:t>
      </w:r>
    </w:p>
    <w:p>
      <w:pPr>
        <w:keepNext w:val="0"/>
        <w:keepLines w:val="0"/>
        <w:pageBreakBefore w:val="0"/>
        <w:widowControl w:val="0"/>
        <w:kinsoku/>
        <w:wordWrap/>
        <w:overflowPunct/>
        <w:topLinePunct/>
        <w:autoSpaceDE/>
        <w:autoSpaceDN/>
        <w:bidi w:val="0"/>
        <w:adjustRightInd/>
        <w:snapToGrid/>
        <w:spacing w:line="240" w:lineRule="auto"/>
        <w:ind w:left="594" w:leftChars="200"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eastAsia="zh-CN"/>
        </w:rPr>
        <w:t>呈贡区</w:t>
      </w:r>
      <w:r>
        <w:rPr>
          <w:rFonts w:hint="eastAsia" w:ascii="仿宋_GB2312" w:hAnsi="仿宋_GB2312" w:eastAsia="仿宋_GB2312" w:cs="仿宋_GB2312"/>
          <w:sz w:val="32"/>
          <w:szCs w:val="32"/>
        </w:rPr>
        <w:t>洛龙街道社区卫生服务中心为公益</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拨款事业单位，20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年末事业编制16人，实有在编在岗16人，退休人员0人。</w:t>
      </w:r>
    </w:p>
    <w:p>
      <w:pPr>
        <w:topLinePunct/>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一、项目基本情况</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lang w:val="en-US" w:eastAsia="zh-CN"/>
        </w:rPr>
        <w:t>7个项目合计金额：1343873元</w:t>
      </w:r>
    </w:p>
    <w:p>
      <w:pPr>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本单位项目名称：房屋租金，属经常性项目，项目依据为呈财社﹝20</w:t>
      </w: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号业务用房房屋租金。</w:t>
      </w:r>
      <w:r>
        <w:rPr>
          <w:rFonts w:hint="eastAsia" w:ascii="仿宋_GB2312" w:hAnsi="仿宋_GB2312" w:eastAsia="仿宋_GB2312" w:cs="仿宋_GB2312"/>
          <w:sz w:val="32"/>
          <w:szCs w:val="32"/>
        </w:rPr>
        <w:t>本中心下属两个卫生服务站无业务用房，需租房开展医疗卫生服务，沁园卫生服务站位于白龙潭俊园*沁园31幢1号商铺（建筑面积231.93平方米），年租金1</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000元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2022年财政预算没有安排，由单位自有资金解决）</w:t>
      </w:r>
      <w:r>
        <w:rPr>
          <w:rFonts w:hint="eastAsia" w:ascii="仿宋_GB2312" w:hAnsi="仿宋_GB2312" w:eastAsia="仿宋_GB2312" w:cs="仿宋_GB2312"/>
          <w:sz w:val="32"/>
          <w:szCs w:val="32"/>
        </w:rPr>
        <w:t>；吴家营卫生服务站位于呈贡新区第一养老院一幢一楼一底钢混结构（建筑面积220平方米），年租金50000元。该项目纳入财政年度预算管理，20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年财政预算批复该项目支出合计</w:t>
      </w:r>
      <w:r>
        <w:rPr>
          <w:rFonts w:hint="eastAsia" w:ascii="仿宋_GB2312" w:hAnsi="仿宋_GB2312" w:eastAsia="仿宋_GB2312" w:cs="仿宋_GB2312"/>
          <w:sz w:val="32"/>
          <w:szCs w:val="32"/>
          <w:lang w:val="en-US" w:eastAsia="zh-CN"/>
        </w:rPr>
        <w:t>50000</w:t>
      </w:r>
      <w:r>
        <w:rPr>
          <w:rFonts w:hint="eastAsia" w:ascii="仿宋_GB2312" w:hAnsi="仿宋_GB2312" w:eastAsia="仿宋_GB2312" w:cs="仿宋_GB2312"/>
          <w:sz w:val="32"/>
          <w:szCs w:val="32"/>
        </w:rPr>
        <w:t>元。</w:t>
      </w:r>
    </w:p>
    <w:p>
      <w:pPr>
        <w:topLinePun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项目总体目标为：（1）通过租用业务用房，开立卫生服务站，扩大业务辐射范围，开展正常的诊疗服务，满足洛龙街道辖区广大居民的基本医疗和公共卫生服务需求，推进医联体建设，构建起“15分钟医疗服务圈”，响应国家“家门口的医疗”的号召。（2）通过解决业务用房的问题，能正常开展诊疗服务，能满足周边地区广大居民的基本医疗和公共卫生服务需</w:t>
      </w:r>
      <w:r>
        <w:rPr>
          <w:rFonts w:hint="eastAsia" w:ascii="仿宋_GB2312" w:hAnsi="仿宋_GB2312" w:eastAsia="仿宋_GB2312" w:cs="仿宋_GB2312"/>
          <w:sz w:val="32"/>
          <w:szCs w:val="32"/>
          <w:lang w:eastAsia="zh-CN"/>
        </w:rPr>
        <w:t>求。</w:t>
      </w:r>
    </w:p>
    <w:p>
      <w:pPr>
        <w:numPr>
          <w:ilvl w:val="0"/>
          <w:numId w:val="0"/>
        </w:numPr>
        <w:topLinePun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本单位项目名称：</w:t>
      </w:r>
      <w:r>
        <w:rPr>
          <w:rFonts w:hint="eastAsia" w:ascii="仿宋_GB2312" w:hAnsi="仿宋_GB2312" w:eastAsia="仿宋_GB2312" w:cs="仿宋_GB2312"/>
          <w:b/>
          <w:bCs/>
          <w:sz w:val="32"/>
          <w:szCs w:val="32"/>
          <w:lang w:val="en-US" w:eastAsia="zh-CN"/>
        </w:rPr>
        <w:t>卫生计生信息系统网络运行维护专项经费，</w:t>
      </w:r>
      <w:r>
        <w:rPr>
          <w:rFonts w:hint="eastAsia" w:ascii="仿宋_GB2312" w:hAnsi="仿宋_GB2312" w:eastAsia="仿宋_GB2312" w:cs="仿宋_GB2312"/>
          <w:b/>
          <w:bCs/>
          <w:sz w:val="32"/>
          <w:szCs w:val="32"/>
        </w:rPr>
        <w:t>属经常性项目，项目依据为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呈财社﹝20</w:t>
      </w: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号</w:t>
      </w:r>
      <w:r>
        <w:rPr>
          <w:rFonts w:hint="eastAsia" w:ascii="仿宋_GB2312" w:hAnsi="仿宋_GB2312" w:eastAsia="仿宋_GB2312" w:cs="仿宋_GB2312"/>
          <w:b/>
          <w:bCs/>
          <w:sz w:val="32"/>
          <w:szCs w:val="32"/>
          <w:lang w:val="en-US" w:eastAsia="zh-CN"/>
        </w:rPr>
        <w:t>呈贡区洛龙街道社区卫生服务中心卫生计生信息系统网络运行维护专项经费</w:t>
      </w:r>
      <w:r>
        <w:rPr>
          <w:rFonts w:hint="eastAsia" w:ascii="仿宋_GB2312" w:hAnsi="仿宋_GB2312" w:eastAsia="仿宋_GB2312" w:cs="仿宋_GB2312"/>
          <w:sz w:val="32"/>
          <w:szCs w:val="32"/>
          <w:lang w:val="en-US" w:eastAsia="zh-CN"/>
        </w:rPr>
        <w:t>：35080元。</w:t>
      </w:r>
    </w:p>
    <w:p>
      <w:pPr>
        <w:numPr>
          <w:ilvl w:val="0"/>
          <w:numId w:val="0"/>
        </w:numPr>
        <w:topLinePun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该项目总体目标为</w:t>
      </w:r>
      <w:r>
        <w:rPr>
          <w:rFonts w:hint="eastAsia" w:ascii="仿宋_GB2312" w:hAnsi="仿宋_GB2312" w:eastAsia="仿宋_GB2312" w:cs="仿宋_GB2312"/>
          <w:sz w:val="32"/>
          <w:szCs w:val="32"/>
          <w:lang w:eastAsia="zh-CN"/>
        </w:rPr>
        <w:t>：建立实用共享的卫生计生信息系统，完善以疾病控制网络为主体的公共卫生计生信息系统，提高预警和分析报告能力；构建乡村和社区卫生信息网络平台，促进城市医院与社区卫生服务机构的合作。</w:t>
      </w:r>
    </w:p>
    <w:p>
      <w:pPr>
        <w:numPr>
          <w:ilvl w:val="0"/>
          <w:numId w:val="1"/>
        </w:numPr>
        <w:topLinePunc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本单位项目名称：</w:t>
      </w:r>
      <w:r>
        <w:rPr>
          <w:rFonts w:hint="eastAsia" w:ascii="仿宋_GB2312" w:hAnsi="仿宋_GB2312" w:eastAsia="仿宋_GB2312" w:cs="仿宋_GB2312"/>
          <w:sz w:val="32"/>
          <w:szCs w:val="32"/>
          <w:lang w:val="en-US" w:eastAsia="zh-CN"/>
        </w:rPr>
        <w:t>呈贡区区级重大公共卫生综合项目精神病防治项目工作经费，属经常性项目，项目依据</w:t>
      </w:r>
      <w:r>
        <w:rPr>
          <w:rFonts w:hint="eastAsia" w:ascii="仿宋_GB2312" w:hAnsi="仿宋_GB2312" w:eastAsia="仿宋_GB2312" w:cs="仿宋_GB2312"/>
          <w:b/>
          <w:bCs/>
          <w:sz w:val="32"/>
          <w:szCs w:val="32"/>
        </w:rPr>
        <w:t>呈财社﹝20</w:t>
      </w: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号</w:t>
      </w:r>
      <w:r>
        <w:rPr>
          <w:rFonts w:hint="eastAsia" w:ascii="仿宋_GB2312" w:hAnsi="仿宋_GB2312" w:eastAsia="仿宋_GB2312" w:cs="仿宋_GB2312"/>
          <w:sz w:val="32"/>
          <w:szCs w:val="32"/>
          <w:lang w:val="en-US" w:eastAsia="zh-CN"/>
        </w:rPr>
        <w:t>呈贡区区级重大公共卫生综合项目精神病防治项目工作经费5760元。</w:t>
      </w:r>
      <w:r>
        <w:rPr>
          <w:rFonts w:hint="eastAsia" w:ascii="仿宋_GB2312" w:hAnsi="仿宋_GB2312" w:eastAsia="仿宋_GB2312" w:cs="仿宋_GB2312"/>
          <w:sz w:val="32"/>
          <w:szCs w:val="32"/>
        </w:rPr>
        <w:t>该项目总体目标为</w:t>
      </w:r>
      <w:r>
        <w:rPr>
          <w:rFonts w:hint="eastAsia" w:ascii="仿宋_GB2312" w:hAnsi="仿宋_GB2312" w:eastAsia="仿宋_GB2312" w:cs="仿宋_GB2312"/>
          <w:sz w:val="32"/>
          <w:szCs w:val="32"/>
          <w:lang w:eastAsia="zh-CN"/>
        </w:rPr>
        <w:t>：促进严重精神障碍患者监护人切实履行监护责任，积极配合治疗开展康复训练，妥善看护居家患者，确保不因疏于救治管理而发生危害社会案件发生。</w:t>
      </w:r>
    </w:p>
    <w:p>
      <w:pPr>
        <w:numPr>
          <w:ilvl w:val="0"/>
          <w:numId w:val="1"/>
        </w:numPr>
        <w:topLinePun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本单位项目名称：</w:t>
      </w:r>
      <w:r>
        <w:rPr>
          <w:rFonts w:hint="eastAsia" w:ascii="仿宋_GB2312" w:hAnsi="仿宋_GB2312" w:eastAsia="仿宋_GB2312" w:cs="仿宋_GB2312"/>
          <w:sz w:val="32"/>
          <w:szCs w:val="32"/>
          <w:lang w:val="en-US" w:eastAsia="zh-CN"/>
        </w:rPr>
        <w:t>重大公共卫生服务-重大公共卫生综合项目（区级疫情防控经费）专项资金，属经常性项目，项目依据</w:t>
      </w:r>
      <w:r>
        <w:rPr>
          <w:rFonts w:hint="eastAsia" w:ascii="仿宋_GB2312" w:hAnsi="仿宋_GB2312" w:eastAsia="仿宋_GB2312" w:cs="仿宋_GB2312"/>
          <w:b/>
          <w:bCs/>
          <w:sz w:val="32"/>
          <w:szCs w:val="32"/>
        </w:rPr>
        <w:t>呈财社﹝20</w:t>
      </w: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号</w:t>
      </w:r>
      <w:r>
        <w:rPr>
          <w:rFonts w:hint="eastAsia" w:ascii="仿宋_GB2312" w:hAnsi="仿宋_GB2312" w:eastAsia="仿宋_GB2312" w:cs="仿宋_GB2312"/>
          <w:sz w:val="32"/>
          <w:szCs w:val="32"/>
          <w:lang w:val="en-US" w:eastAsia="zh-CN"/>
        </w:rPr>
        <w:t>重大公共卫生综合项目（区级疫情防控经费）专项资金：118800元。</w:t>
      </w:r>
      <w:r>
        <w:rPr>
          <w:rFonts w:hint="eastAsia" w:ascii="仿宋_GB2312" w:hAnsi="仿宋_GB2312" w:eastAsia="仿宋_GB2312" w:cs="仿宋_GB2312"/>
          <w:sz w:val="32"/>
          <w:szCs w:val="32"/>
        </w:rPr>
        <w:t>该项目总体目标为</w:t>
      </w:r>
      <w:r>
        <w:rPr>
          <w:rFonts w:hint="eastAsia" w:ascii="仿宋_GB2312" w:hAnsi="仿宋_GB2312" w:eastAsia="仿宋_GB2312" w:cs="仿宋_GB2312"/>
          <w:sz w:val="32"/>
          <w:szCs w:val="32"/>
          <w:lang w:eastAsia="zh-CN"/>
        </w:rPr>
        <w:t>：确保酒店轮值值守</w:t>
      </w:r>
      <w:r>
        <w:rPr>
          <w:rFonts w:hint="eastAsia" w:ascii="仿宋_GB2312" w:hAnsi="仿宋_GB2312" w:eastAsia="仿宋_GB2312" w:cs="仿宋_GB2312"/>
          <w:sz w:val="32"/>
          <w:szCs w:val="32"/>
          <w:lang w:val="en-US" w:eastAsia="zh-CN"/>
        </w:rPr>
        <w:t>2医2护人员工资，圆满完成呈贡区洛龙街道辖区新冠疫情防控工作任务，确保外防输出，内防反弹 。</w:t>
      </w:r>
    </w:p>
    <w:p>
      <w:pPr>
        <w:numPr>
          <w:ilvl w:val="0"/>
          <w:numId w:val="0"/>
        </w:numPr>
        <w:topLinePun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bCs/>
          <w:sz w:val="32"/>
          <w:szCs w:val="32"/>
          <w:lang w:eastAsia="zh-CN"/>
        </w:rPr>
        <w:t>本单位项目名称：</w:t>
      </w:r>
      <w:r>
        <w:rPr>
          <w:rFonts w:hint="eastAsia" w:ascii="仿宋_GB2312" w:hAnsi="仿宋_GB2312" w:eastAsia="仿宋_GB2312" w:cs="仿宋_GB2312"/>
          <w:sz w:val="32"/>
          <w:szCs w:val="32"/>
          <w:lang w:val="en-US" w:eastAsia="zh-CN"/>
        </w:rPr>
        <w:t>突发公共卫生事件应急处理-2022年部分新冠肺炎疫情防控工作经费，属经常性项目，项目依据</w:t>
      </w:r>
      <w:r>
        <w:rPr>
          <w:rFonts w:hint="eastAsia" w:ascii="仿宋_GB2312" w:hAnsi="仿宋_GB2312" w:eastAsia="仿宋_GB2312" w:cs="仿宋_GB2312"/>
          <w:b/>
          <w:bCs/>
          <w:sz w:val="32"/>
          <w:szCs w:val="32"/>
        </w:rPr>
        <w:t>呈财社﹝20</w:t>
      </w: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号</w:t>
      </w:r>
      <w:r>
        <w:rPr>
          <w:rFonts w:hint="eastAsia" w:ascii="仿宋_GB2312" w:hAnsi="仿宋_GB2312" w:eastAsia="仿宋_GB2312" w:cs="仿宋_GB2312"/>
          <w:sz w:val="32"/>
          <w:szCs w:val="32"/>
          <w:lang w:val="en-US" w:eastAsia="zh-CN"/>
        </w:rPr>
        <w:t>2022年部分新冠肺炎疫情防控工作经费：99640元。</w:t>
      </w:r>
      <w:r>
        <w:rPr>
          <w:rFonts w:hint="eastAsia" w:ascii="仿宋_GB2312" w:hAnsi="仿宋_GB2312" w:eastAsia="仿宋_GB2312" w:cs="仿宋_GB2312"/>
          <w:sz w:val="32"/>
          <w:szCs w:val="32"/>
        </w:rPr>
        <w:t>该项目总体目标为</w:t>
      </w:r>
      <w:r>
        <w:rPr>
          <w:rFonts w:hint="eastAsia" w:ascii="仿宋_GB2312" w:hAnsi="仿宋_GB2312" w:eastAsia="仿宋_GB2312" w:cs="仿宋_GB2312"/>
          <w:sz w:val="32"/>
          <w:szCs w:val="32"/>
          <w:lang w:eastAsia="zh-CN"/>
        </w:rPr>
        <w:t>：完成疫情防控工作任务，补足疫情防控经费缺口，</w:t>
      </w:r>
      <w:r>
        <w:rPr>
          <w:rFonts w:hint="eastAsia" w:ascii="仿宋_GB2312" w:hAnsi="仿宋_GB2312" w:eastAsia="仿宋_GB2312" w:cs="仿宋_GB2312"/>
          <w:sz w:val="32"/>
          <w:szCs w:val="32"/>
          <w:lang w:val="en-US" w:eastAsia="zh-CN"/>
        </w:rPr>
        <w:t>圆满完成呈贡区洛龙街道辖区新冠疫情防控工作任务，确保外防输出，内防反弹 。</w:t>
      </w:r>
    </w:p>
    <w:p>
      <w:pPr>
        <w:numPr>
          <w:ilvl w:val="0"/>
          <w:numId w:val="0"/>
        </w:numPr>
        <w:topLinePun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
          <w:bCs/>
          <w:sz w:val="32"/>
          <w:szCs w:val="32"/>
          <w:lang w:eastAsia="zh-CN"/>
        </w:rPr>
        <w:t>本单位项目名称：</w:t>
      </w:r>
      <w:r>
        <w:rPr>
          <w:rFonts w:hint="eastAsia" w:ascii="仿宋_GB2312" w:hAnsi="仿宋_GB2312" w:eastAsia="仿宋_GB2312" w:cs="仿宋_GB2312"/>
          <w:sz w:val="32"/>
          <w:szCs w:val="32"/>
          <w:lang w:val="en-US" w:eastAsia="zh-CN"/>
        </w:rPr>
        <w:t>实施基本药物制度中央、省级补助资金 ，属经常性项目，项目依据</w:t>
      </w:r>
      <w:r>
        <w:rPr>
          <w:rFonts w:hint="eastAsia" w:ascii="仿宋_GB2312" w:hAnsi="仿宋_GB2312" w:eastAsia="仿宋_GB2312" w:cs="仿宋_GB2312"/>
          <w:b/>
          <w:bCs/>
          <w:sz w:val="32"/>
          <w:szCs w:val="32"/>
        </w:rPr>
        <w:t>呈财社﹝20</w:t>
      </w: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号</w:t>
      </w:r>
      <w:r>
        <w:rPr>
          <w:rFonts w:hint="eastAsia" w:ascii="仿宋_GB2312" w:hAnsi="仿宋_GB2312" w:eastAsia="仿宋_GB2312" w:cs="仿宋_GB2312"/>
          <w:sz w:val="32"/>
          <w:szCs w:val="32"/>
          <w:lang w:val="en-US" w:eastAsia="zh-CN"/>
        </w:rPr>
        <w:t>城市社区卫生机构、其他基层医疗卫生机构支出-实施基本药物制度中央、省级补助资金 ：58100元（中央32900元、省级25200元）。</w:t>
      </w:r>
      <w:r>
        <w:rPr>
          <w:rFonts w:hint="eastAsia" w:ascii="仿宋_GB2312" w:hAnsi="仿宋_GB2312" w:eastAsia="仿宋_GB2312" w:cs="仿宋_GB2312"/>
          <w:sz w:val="32"/>
          <w:szCs w:val="32"/>
        </w:rPr>
        <w:t>该项目总体目标为</w:t>
      </w:r>
      <w:r>
        <w:rPr>
          <w:rFonts w:hint="eastAsia" w:ascii="仿宋_GB2312" w:hAnsi="仿宋_GB2312" w:eastAsia="仿宋_GB2312" w:cs="仿宋_GB2312"/>
          <w:sz w:val="32"/>
          <w:szCs w:val="32"/>
          <w:lang w:eastAsia="zh-CN"/>
        </w:rPr>
        <w:t>：保证辖区所有政府办基层医疗卫生机构实施国家基本药物制度，推进综合改革顺利进行，对实施国家基本药物制度的村卫生室给予补助，支持国家基本药物制度在村卫生室顺利实施。</w:t>
      </w:r>
    </w:p>
    <w:p>
      <w:pPr>
        <w:numPr>
          <w:ilvl w:val="0"/>
          <w:numId w:val="0"/>
        </w:numPr>
        <w:topLinePun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b/>
          <w:bCs/>
          <w:sz w:val="32"/>
          <w:szCs w:val="32"/>
          <w:lang w:eastAsia="zh-CN"/>
        </w:rPr>
        <w:t>本单位项目名称：</w:t>
      </w:r>
      <w:r>
        <w:rPr>
          <w:rFonts w:hint="eastAsia" w:ascii="仿宋_GB2312" w:hAnsi="仿宋_GB2312" w:eastAsia="仿宋_GB2312" w:cs="仿宋_GB2312"/>
          <w:sz w:val="32"/>
          <w:szCs w:val="32"/>
          <w:lang w:val="en-US" w:eastAsia="zh-CN"/>
        </w:rPr>
        <w:t>基本公共卫生服务- 国家基本公共卫生服务项目中央补助资金，属经常性项目，项目依据</w:t>
      </w:r>
      <w:r>
        <w:rPr>
          <w:rFonts w:hint="eastAsia" w:ascii="仿宋_GB2312" w:hAnsi="仿宋_GB2312" w:eastAsia="仿宋_GB2312" w:cs="仿宋_GB2312"/>
          <w:b/>
          <w:bCs/>
          <w:sz w:val="32"/>
          <w:szCs w:val="32"/>
        </w:rPr>
        <w:t>呈财社﹝20</w:t>
      </w: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号</w:t>
      </w:r>
      <w:r>
        <w:rPr>
          <w:rFonts w:hint="eastAsia" w:ascii="仿宋_GB2312" w:hAnsi="仿宋_GB2312" w:eastAsia="仿宋_GB2312" w:cs="仿宋_GB2312"/>
          <w:sz w:val="32"/>
          <w:szCs w:val="32"/>
          <w:lang w:val="en-US" w:eastAsia="zh-CN"/>
        </w:rPr>
        <w:t>基本公共卫生服务- 国家基本公共卫生服务项目中央补助资金：976493元 。</w:t>
      </w:r>
      <w:r>
        <w:rPr>
          <w:rFonts w:hint="eastAsia" w:ascii="仿宋_GB2312" w:hAnsi="仿宋_GB2312" w:eastAsia="仿宋_GB2312" w:cs="仿宋_GB2312"/>
          <w:sz w:val="32"/>
          <w:szCs w:val="32"/>
        </w:rPr>
        <w:t>该项目总体目标为</w:t>
      </w:r>
      <w:r>
        <w:rPr>
          <w:rFonts w:hint="eastAsia" w:ascii="仿宋_GB2312" w:hAnsi="仿宋_GB2312" w:eastAsia="仿宋_GB2312" w:cs="仿宋_GB2312"/>
          <w:sz w:val="32"/>
          <w:szCs w:val="32"/>
          <w:lang w:eastAsia="zh-CN"/>
        </w:rPr>
        <w:t>：1.免费向城乡居民提供基本公共卫生服务，促进基本公共卫生服务均等化。.按照《国家基本公共卫生服务规范（第三版）》为城乡居民建立健康档案，开展健康教育、预防接种等服务，将-6岁儿童、5岁以上老年人、孕产妇、原发性高血压和2型糖尿病患者、严重精神障碍患者、肺结核患者列为重点人群，提供针对性的健康管理服务。3.开展对重点疾病及危害因素监测，有效控制疾病流行，为制度相关政策提供依据。保持重点地方病防治措施全面落实。开展职业病监测，最大限度保护放射人员、患者和公众的健康权益。同时推进妇幼卫生、健康素养促进、医养结合和老年健康服务、卫生应急、计划生育等方面工作</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项目资金使用及管理情况</w:t>
      </w:r>
    </w:p>
    <w:p>
      <w:pPr>
        <w:topLinePunct/>
        <w:spacing w:line="360" w:lineRule="auto"/>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单位成立了20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预算项目绩效管理工作领导小组对单位项目预算工作进行布置安排。遵循“综合考评、注重实效、激励先进”的原则，进一步增强支出责任和效率意识，贯彻落实项目绩效管理理念，优化资源配置，提高财政资金使用绩效和科学精细化管理水平，使财政资金真正落实在为居民提供的基本医疗和公共卫生服务上。</w:t>
      </w:r>
    </w:p>
    <w:p>
      <w:pPr>
        <w:topLinePun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三、项目组织实施情况</w:t>
      </w:r>
    </w:p>
    <w:p>
      <w:pPr>
        <w:topLinePun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昆明市场区洛龙街道社区卫生服务中心2022年的7个</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b w:val="0"/>
          <w:bCs w:val="0"/>
          <w:sz w:val="32"/>
          <w:szCs w:val="32"/>
        </w:rPr>
        <w:t>呈财社﹝20</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2号预算批复的要求认真做好</w:t>
      </w:r>
      <w:r>
        <w:rPr>
          <w:rFonts w:hint="eastAsia" w:ascii="仿宋_GB2312" w:hAnsi="仿宋_GB2312" w:eastAsia="仿宋_GB2312" w:cs="仿宋_GB2312"/>
          <w:sz w:val="32"/>
          <w:szCs w:val="32"/>
        </w:rPr>
        <w:t>前期准备、招投标、调整、竣工验收。</w:t>
      </w:r>
      <w:r>
        <w:rPr>
          <w:rFonts w:hint="eastAsia" w:ascii="仿宋_GB2312" w:hAnsi="仿宋_GB2312" w:eastAsia="仿宋_GB2312" w:cs="仿宋_GB2312"/>
          <w:sz w:val="32"/>
          <w:szCs w:val="32"/>
          <w:lang w:val="en-US" w:eastAsia="zh-CN"/>
        </w:rPr>
        <w:t>7个</w:t>
      </w:r>
      <w:r>
        <w:rPr>
          <w:rFonts w:hint="eastAsia" w:ascii="仿宋_GB2312" w:hAnsi="仿宋_GB2312" w:eastAsia="仿宋_GB2312" w:cs="仿宋_GB2312"/>
          <w:sz w:val="32"/>
          <w:szCs w:val="32"/>
        </w:rPr>
        <w:t>项目管理情况</w:t>
      </w:r>
      <w:r>
        <w:rPr>
          <w:rFonts w:hint="eastAsia" w:ascii="仿宋_GB2312" w:hAnsi="仿宋_GB2312" w:eastAsia="仿宋_GB2312" w:cs="仿宋_GB2312"/>
          <w:sz w:val="32"/>
          <w:szCs w:val="32"/>
          <w:lang w:eastAsia="zh-CN"/>
        </w:rPr>
        <w:t>：按照要求认真建立各自</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管理制度</w:t>
      </w:r>
      <w:r>
        <w:rPr>
          <w:rFonts w:hint="eastAsia" w:ascii="仿宋_GB2312" w:hAnsi="仿宋_GB2312" w:eastAsia="仿宋_GB2312" w:cs="仿宋_GB2312"/>
          <w:sz w:val="32"/>
          <w:szCs w:val="32"/>
          <w:lang w:eastAsia="zh-CN"/>
        </w:rPr>
        <w:t>，并认真做好</w:t>
      </w:r>
      <w:r>
        <w:rPr>
          <w:rFonts w:hint="eastAsia" w:ascii="仿宋_GB2312" w:hAnsi="仿宋_GB2312" w:eastAsia="仿宋_GB2312" w:cs="仿宋_GB2312"/>
          <w:sz w:val="32"/>
          <w:szCs w:val="32"/>
        </w:rPr>
        <w:t>日常检查监督</w:t>
      </w:r>
      <w:r>
        <w:rPr>
          <w:rFonts w:hint="eastAsia" w:ascii="仿宋_GB2312" w:hAnsi="仿宋_GB2312" w:eastAsia="仿宋_GB2312" w:cs="仿宋_GB2312"/>
          <w:sz w:val="32"/>
          <w:szCs w:val="32"/>
          <w:lang w:eastAsia="zh-CN"/>
        </w:rPr>
        <w:t>工作。</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、项目绩效情况</w:t>
      </w:r>
    </w:p>
    <w:p>
      <w:pPr>
        <w:keepNext w:val="0"/>
        <w:keepLines w:val="0"/>
        <w:pageBreakBefore w:val="0"/>
        <w:widowControl w:val="0"/>
        <w:kinsoku/>
        <w:wordWrap/>
        <w:overflowPunct/>
        <w:topLine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1、经济性分析。</w:t>
      </w:r>
      <w:r>
        <w:rPr>
          <w:rFonts w:hint="eastAsia" w:ascii="仿宋_GB2312" w:hAnsi="仿宋_GB2312" w:eastAsia="仿宋_GB2312" w:cs="仿宋_GB2312"/>
          <w:sz w:val="32"/>
          <w:szCs w:val="32"/>
          <w:lang w:eastAsia="zh-CN"/>
        </w:rPr>
        <w:t>昆明市呈贡区洛龙街道社区卫生房屋</w:t>
      </w:r>
      <w:r>
        <w:rPr>
          <w:rFonts w:hint="eastAsia" w:ascii="仿宋_GB2312" w:hAnsi="仿宋_GB2312" w:eastAsia="仿宋_GB2312" w:cs="仿宋_GB2312"/>
          <w:sz w:val="32"/>
          <w:szCs w:val="32"/>
        </w:rPr>
        <w:t>中心严格按照年初财政拨款预算批复文件执行，项目依据为：呈财社﹝20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号，在预算执行过程中，节约不必要的预算支出，严格控制项目经费开支，做到专款专用。</w:t>
      </w:r>
    </w:p>
    <w:p>
      <w:pPr>
        <w:keepNext w:val="0"/>
        <w:keepLines w:val="0"/>
        <w:pageBreakBefore w:val="0"/>
        <w:widowControl w:val="0"/>
        <w:kinsoku/>
        <w:wordWrap/>
        <w:overflowPunct/>
        <w:topLinePunct/>
        <w:autoSpaceDE/>
        <w:autoSpaceDN/>
        <w:bidi w:val="0"/>
        <w:adjustRightInd/>
        <w:snapToGrid/>
        <w:spacing w:line="240" w:lineRule="auto"/>
        <w:ind w:firstLine="446"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2、效率性分析，中心均按照规定的项目预算执行进度按质按量执行预算，确保开展医疗卫生事务的项目经费开支。</w:t>
      </w:r>
    </w:p>
    <w:p>
      <w:pPr>
        <w:keepNext w:val="0"/>
        <w:keepLines w:val="0"/>
        <w:pageBreakBefore w:val="0"/>
        <w:widowControl w:val="0"/>
        <w:kinsoku/>
        <w:wordWrap/>
        <w:overflowPunct/>
        <w:topLine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3、效益性分析。基本完成预期设定的基本公共卫生服务目标人群及医疗服务人次、医疗收入增长的目标，提升了辖区居民的健康素养水平和就医感受，得到了居民的认可。</w:t>
      </w:r>
    </w:p>
    <w:p>
      <w:pPr>
        <w:topLinePunct/>
        <w:ind w:firstLine="594" w:firstLineChars="200"/>
        <w:jc w:val="both"/>
        <w:rPr>
          <w:rFonts w:hint="eastAsia" w:ascii="仿宋_GB2312" w:hAnsi="仿宋_GB2312" w:eastAsia="仿宋_GB2312" w:cs="仿宋_GB2312"/>
          <w:sz w:val="32"/>
          <w:szCs w:val="32"/>
        </w:rPr>
      </w:pP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、存在的问题</w:t>
      </w:r>
    </w:p>
    <w:p>
      <w:pPr>
        <w:topLinePun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（一）专项管理方面的问题。专项立项依据是否充分；是否有资金管理办法，资金管理办法是否规范等。</w:t>
      </w:r>
      <w:r>
        <w:rPr>
          <w:rFonts w:hint="eastAsia" w:ascii="仿宋_GB2312" w:hAnsi="仿宋_GB2312" w:eastAsia="仿宋_GB2312" w:cs="仿宋_GB2312"/>
          <w:sz w:val="32"/>
          <w:szCs w:val="32"/>
          <w:lang w:eastAsia="zh-CN"/>
        </w:rPr>
        <w:t>无以上情况。</w:t>
      </w:r>
    </w:p>
    <w:p>
      <w:pPr>
        <w:topLinePun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（二）资金分配方面的问题。资金分配是否合理，突出重点，公平公正；有无散小差现象；资金分配和使用方向是否与资金管理办法相符等。</w:t>
      </w:r>
      <w:r>
        <w:rPr>
          <w:rFonts w:hint="eastAsia" w:ascii="仿宋_GB2312" w:hAnsi="仿宋_GB2312" w:eastAsia="仿宋_GB2312" w:cs="仿宋_GB2312"/>
          <w:sz w:val="32"/>
          <w:szCs w:val="32"/>
          <w:lang w:eastAsia="zh-CN"/>
        </w:rPr>
        <w:t>无以上情况。</w:t>
      </w:r>
    </w:p>
    <w:p>
      <w:pPr>
        <w:topLinePun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（三）资金拨付方面的问题。拨付是否及时，有无滞留、闲置等现象。</w:t>
      </w:r>
      <w:r>
        <w:rPr>
          <w:rFonts w:hint="eastAsia" w:ascii="仿宋_GB2312" w:hAnsi="仿宋_GB2312" w:eastAsia="仿宋_GB2312" w:cs="仿宋_GB2312"/>
          <w:sz w:val="32"/>
          <w:szCs w:val="32"/>
          <w:lang w:eastAsia="zh-CN"/>
        </w:rPr>
        <w:t>无以上情况</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（四）资金使用方面的问题。资金使用合规，无截留、挪用等现象。</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、其他需要说明的问题</w:t>
      </w:r>
    </w:p>
    <w:p>
      <w:pPr>
        <w:topLinePun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（一）后续工作计划。</w:t>
      </w:r>
      <w:r>
        <w:rPr>
          <w:rFonts w:hint="eastAsia" w:ascii="仿宋_GB2312" w:hAnsi="仿宋_GB2312" w:eastAsia="仿宋_GB2312" w:cs="仿宋_GB2312"/>
          <w:sz w:val="32"/>
          <w:szCs w:val="32"/>
          <w:lang w:eastAsia="zh-CN"/>
        </w:rPr>
        <w:t>无</w:t>
      </w:r>
    </w:p>
    <w:p>
      <w:pPr>
        <w:topLinePun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（二）主要经验做法、改进措施和有关建议等。</w:t>
      </w:r>
      <w:r>
        <w:rPr>
          <w:rFonts w:hint="eastAsia" w:ascii="仿宋_GB2312" w:hAnsi="仿宋_GB2312" w:eastAsia="仿宋_GB2312" w:cs="仿宋_GB2312"/>
          <w:sz w:val="32"/>
          <w:szCs w:val="32"/>
          <w:lang w:eastAsia="zh-CN"/>
        </w:rPr>
        <w:t>无</w:t>
      </w:r>
    </w:p>
    <w:p>
      <w:pPr>
        <w:topLinePunct/>
        <w:ind w:firstLine="594" w:firstLineChars="200"/>
        <w:rPr>
          <w:rFonts w:hint="eastAsia" w:ascii="仿宋_GB2312" w:hAnsi="仿宋_GB2312" w:eastAsia="仿宋_GB2312" w:cs="仿宋_GB2312"/>
          <w:sz w:val="32"/>
          <w:szCs w:val="32"/>
        </w:rPr>
      </w:pPr>
    </w:p>
    <w:p>
      <w:pPr>
        <w:topLinePunct/>
        <w:ind w:firstLine="594" w:firstLineChars="200"/>
        <w:rPr>
          <w:rFonts w:hint="eastAsia" w:ascii="仿宋_GB2312" w:hAnsi="仿宋_GB2312" w:eastAsia="仿宋_GB2312" w:cs="仿宋_GB2312"/>
          <w:sz w:val="32"/>
          <w:szCs w:val="32"/>
        </w:rPr>
      </w:pPr>
    </w:p>
    <w:p>
      <w:pPr>
        <w:topLinePunct/>
        <w:spacing w:line="360" w:lineRule="auto"/>
        <w:ind w:firstLine="594"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昆明市呈贡区洛龙街道社区卫生服务中心</w:t>
      </w:r>
    </w:p>
    <w:p>
      <w:pPr>
        <w:topLinePunct/>
        <w:spacing w:line="360" w:lineRule="auto"/>
        <w:ind w:firstLine="594" w:firstLineChars="200"/>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年3月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topLinePunct/>
        <w:ind w:firstLine="594"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2F335"/>
    <w:multiLevelType w:val="singleLevel"/>
    <w:tmpl w:val="68A2F33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ZWMxYmE3MGEwMTk5MTBkZjQyOGEzNWRhODlhZmMifQ=="/>
  </w:docVars>
  <w:rsids>
    <w:rsidRoot w:val="00000000"/>
    <w:rsid w:val="05AE36CA"/>
    <w:rsid w:val="0F8E47D8"/>
    <w:rsid w:val="32A70557"/>
    <w:rsid w:val="378A5996"/>
    <w:rsid w:val="4760647F"/>
    <w:rsid w:val="56336B0D"/>
    <w:rsid w:val="5A3C6978"/>
    <w:rsid w:val="67600811"/>
    <w:rsid w:val="6EF0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1662</Words>
  <Characters>1732</Characters>
  <Lines>0</Lines>
  <Paragraphs>0</Paragraphs>
  <TotalTime>23</TotalTime>
  <ScaleCrop>false</ScaleCrop>
  <LinksUpToDate>false</LinksUpToDate>
  <CharactersWithSpaces>1733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卡加菲猫</cp:lastModifiedBy>
  <cp:lastPrinted>2023-03-30T03:46:00Z</cp:lastPrinted>
  <dcterms:modified xsi:type="dcterms:W3CDTF">2023-09-22T08:12:27Z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1402AA029F53448BAE2EB60A2E339721</vt:lpwstr>
  </property>
</Properties>
</file>