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p>
    <w:p>
      <w:pPr>
        <w:spacing w:line="600" w:lineRule="exact"/>
        <w:ind w:firstLine="594" w:firstLineChars="200"/>
        <w:rPr>
          <w:rFonts w:ascii="仿宋_GB2312"/>
          <w:b/>
          <w:szCs w:val="32"/>
        </w:rPr>
      </w:pPr>
    </w:p>
    <w:p>
      <w:pPr>
        <w:keepNext w:val="0"/>
        <w:keepLines w:val="0"/>
        <w:pageBreakBefore w:val="0"/>
        <w:kinsoku/>
        <w:wordWrap/>
        <w:overflowPunct/>
        <w:topLinePunct/>
        <w:bidi w:val="0"/>
        <w:snapToGrid/>
        <w:spacing w:line="560" w:lineRule="exact"/>
        <w:ind w:firstLine="594" w:firstLineChars="200"/>
        <w:jc w:val="both"/>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bidi w:val="0"/>
        <w:snapToGrid/>
        <w:spacing w:line="560" w:lineRule="exact"/>
        <w:ind w:firstLine="594" w:firstLineChars="200"/>
        <w:jc w:val="both"/>
        <w:textAlignment w:val="auto"/>
        <w:outlineLvl w:val="0"/>
        <w:rPr>
          <w:rFonts w:hint="eastAsia" w:ascii="楷体_GB2312" w:hAnsi="楷体_GB2312" w:eastAsia="楷体_GB2312" w:cs="楷体_GB2312"/>
          <w:bCs/>
          <w:kern w:val="0"/>
          <w:sz w:val="32"/>
          <w:szCs w:val="32"/>
        </w:rPr>
      </w:pPr>
      <w:bookmarkStart w:id="0" w:name="_Toc28328"/>
      <w:bookmarkStart w:id="1" w:name="_Toc17110"/>
      <w:bookmarkStart w:id="2" w:name="_Toc17618"/>
      <w:r>
        <w:rPr>
          <w:rFonts w:hint="eastAsia" w:ascii="楷体_GB2312" w:hAnsi="楷体_GB2312" w:eastAsia="楷体_GB2312" w:cs="楷体_GB2312"/>
          <w:bCs/>
          <w:kern w:val="0"/>
          <w:sz w:val="32"/>
          <w:szCs w:val="32"/>
        </w:rPr>
        <w:t>（一）项目概况</w:t>
      </w:r>
      <w:bookmarkEnd w:id="0"/>
      <w:bookmarkEnd w:id="1"/>
      <w:bookmarkEnd w:id="2"/>
    </w:p>
    <w:p>
      <w:pPr>
        <w:keepNext w:val="0"/>
        <w:keepLines w:val="0"/>
        <w:pageBreakBefore w:val="0"/>
        <w:kinsoku/>
        <w:wordWrap/>
        <w:overflowPunct/>
        <w:bidi w:val="0"/>
        <w:snapToGrid/>
        <w:spacing w:line="560" w:lineRule="exact"/>
        <w:ind w:firstLine="594" w:firstLineChars="200"/>
        <w:jc w:val="both"/>
        <w:textAlignment w:val="auto"/>
        <w:outlineLvl w:val="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1.呈贡区水利工程观测及工程养护项目保障水利工程安全运行和效益发挥。中型水库1座工程观测及工程养护，小1型水库2座工程观测及工程养护，小2型水库4座工程观测及工程养护。</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2.区管水利工程管理所站管理经费6个区管水利工程管理所（站）工作管理经费。2022年主要用于管理所（站）设施设备修缮、运行管理类物品购买、检查工具、农药汽油、生活生产物资、安保消防用品。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3.保障呈贡区白龙潭水库向中央公园七步场大小塘子调水泵站正常运行。</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4.高新区（马金铺）片区社会事务（水务类）用于</w:t>
      </w:r>
      <w:r>
        <w:rPr>
          <w:rFonts w:hint="eastAsia" w:ascii="仿宋_GB2312" w:hAnsi="仿宋_GB2312" w:eastAsia="仿宋_GB2312" w:cs="仿宋_GB2312"/>
          <w:spacing w:val="14"/>
          <w:sz w:val="32"/>
          <w:szCs w:val="32"/>
          <w:lang w:val="en-US" w:eastAsia="zh-CN"/>
        </w:rPr>
        <w:t>马金铺街道办事处中小型水库运行管理，确保水库大坝安全运行。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5.吴家营街道办事处大水塘坝降等技术服务</w:t>
      </w:r>
      <w:r>
        <w:rPr>
          <w:rFonts w:hint="eastAsia" w:ascii="仿宋_GB2312" w:eastAsia="仿宋_GB2312"/>
          <w:sz w:val="32"/>
          <w:szCs w:val="32"/>
        </w:rPr>
        <w:t>吴家营街道</w:t>
      </w:r>
      <w:r>
        <w:rPr>
          <w:rFonts w:hint="eastAsia" w:ascii="仿宋_GB2312" w:eastAsia="仿宋_GB2312"/>
          <w:sz w:val="32"/>
          <w:szCs w:val="32"/>
          <w:lang w:val="en-US" w:eastAsia="zh-CN"/>
        </w:rPr>
        <w:t>办事处</w:t>
      </w:r>
      <w:r>
        <w:rPr>
          <w:rFonts w:hint="eastAsia" w:ascii="仿宋_GB2312" w:eastAsia="仿宋_GB2312"/>
          <w:sz w:val="32"/>
          <w:szCs w:val="32"/>
        </w:rPr>
        <w:t>大水塘坝水库</w:t>
      </w:r>
      <w:r>
        <w:rPr>
          <w:rFonts w:hint="eastAsia" w:ascii="仿宋_GB2312" w:eastAsia="仿宋_GB2312"/>
          <w:sz w:val="32"/>
          <w:szCs w:val="32"/>
          <w:lang w:eastAsia="zh-CN"/>
        </w:rPr>
        <w:t>，</w:t>
      </w:r>
      <w:r>
        <w:rPr>
          <w:rFonts w:hint="eastAsia" w:ascii="仿宋_GB2312" w:eastAsia="仿宋_GB2312"/>
          <w:sz w:val="32"/>
          <w:szCs w:val="32"/>
        </w:rPr>
        <w:t>始建于</w:t>
      </w:r>
      <w:r>
        <w:rPr>
          <w:rFonts w:hint="eastAsia" w:ascii="仿宋_GB2312" w:eastAsia="仿宋_GB2312"/>
          <w:sz w:val="32"/>
          <w:szCs w:val="32"/>
          <w:lang w:val="en-US" w:eastAsia="zh-CN"/>
        </w:rPr>
        <w:t>1949</w:t>
      </w:r>
      <w:r>
        <w:rPr>
          <w:rFonts w:hint="eastAsia" w:ascii="仿宋_GB2312" w:eastAsia="仿宋_GB2312"/>
          <w:sz w:val="32"/>
          <w:szCs w:val="32"/>
        </w:rPr>
        <w:t>年，属水利部注册登记的小（2）型水库，总库容</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 主要功能：防洪、供水、生态，坝型为均质土坝。随着</w:t>
      </w:r>
      <w:r>
        <w:rPr>
          <w:rFonts w:hint="eastAsia" w:ascii="仿宋_GB2312" w:eastAsia="仿宋_GB2312"/>
          <w:sz w:val="32"/>
          <w:szCs w:val="32"/>
          <w:lang w:eastAsia="zh-CN"/>
        </w:rPr>
        <w:t>城市化</w:t>
      </w:r>
      <w:r>
        <w:rPr>
          <w:rFonts w:hint="eastAsia" w:ascii="仿宋_GB2312" w:eastAsia="仿宋_GB2312"/>
          <w:sz w:val="32"/>
          <w:szCs w:val="32"/>
          <w:lang w:val="en-US" w:eastAsia="zh-CN"/>
        </w:rPr>
        <w:t>进程</w:t>
      </w:r>
      <w:r>
        <w:rPr>
          <w:rFonts w:hint="eastAsia" w:ascii="仿宋_GB2312" w:eastAsia="仿宋_GB2312"/>
          <w:sz w:val="32"/>
          <w:szCs w:val="32"/>
          <w:lang w:eastAsia="zh-CN"/>
        </w:rPr>
        <w:t>的推进，</w:t>
      </w:r>
      <w:r>
        <w:rPr>
          <w:rFonts w:hint="eastAsia" w:ascii="仿宋_GB2312" w:eastAsia="仿宋_GB2312"/>
          <w:sz w:val="32"/>
          <w:szCs w:val="32"/>
          <w:lang w:val="en-US" w:eastAsia="zh-CN"/>
        </w:rPr>
        <w:t>水库功能萎缩，</w:t>
      </w:r>
      <w:r>
        <w:rPr>
          <w:rFonts w:hint="eastAsia" w:ascii="仿宋_GB2312" w:eastAsia="仿宋_GB2312"/>
          <w:sz w:val="32"/>
          <w:szCs w:val="32"/>
        </w:rPr>
        <w:t>实际库容由原有的</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缩小到现在</w:t>
      </w:r>
      <w:r>
        <w:rPr>
          <w:rFonts w:hint="eastAsia" w:ascii="仿宋_GB2312" w:eastAsia="仿宋_GB2312"/>
          <w:sz w:val="32"/>
          <w:szCs w:val="32"/>
          <w:lang w:val="en-US" w:eastAsia="zh-CN"/>
        </w:rPr>
        <w:t>8.76</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，不足10万m</w:t>
      </w:r>
      <w:r>
        <w:rPr>
          <w:rFonts w:hint="eastAsia" w:ascii="宋体" w:hAnsi="宋体"/>
          <w:sz w:val="32"/>
          <w:szCs w:val="32"/>
        </w:rPr>
        <w:t>³</w:t>
      </w:r>
      <w:r>
        <w:rPr>
          <w:rFonts w:hint="eastAsia" w:ascii="仿宋_GB2312" w:eastAsia="仿宋_GB2312"/>
          <w:sz w:val="32"/>
          <w:szCs w:val="32"/>
        </w:rPr>
        <w:t>。</w:t>
      </w:r>
      <w:r>
        <w:rPr>
          <w:rFonts w:hint="eastAsia" w:ascii="仿宋_GB2312" w:hAnsi="仿宋_GB2312" w:eastAsia="仿宋_GB2312" w:cs="仿宋_GB2312"/>
          <w:sz w:val="32"/>
          <w:szCs w:val="32"/>
        </w:rPr>
        <w:t>水库原有的灌溉功能完全丧失</w:t>
      </w:r>
      <w:r>
        <w:rPr>
          <w:rFonts w:hint="eastAsia" w:ascii="仿宋_GB2312" w:hAnsi="仿宋_GB2312" w:eastAsia="仿宋_GB2312" w:cs="仿宋_GB2312"/>
          <w:color w:val="000000"/>
          <w:kern w:val="0"/>
          <w:sz w:val="32"/>
          <w:szCs w:val="32"/>
          <w:lang w:val="en-US" w:eastAsia="zh-CN" w:bidi="ar"/>
        </w:rPr>
        <w:t>，入库洪水流量减小,主要为城市景观水体功能。因此，根据《水库降等与报废评估导则》（SL/T791-2019）和《水库降等与报废标准》（SL605-2013）相关规定，同意对</w:t>
      </w:r>
      <w:r>
        <w:rPr>
          <w:rFonts w:hint="eastAsia" w:ascii="仿宋_GB2312" w:hAnsi="仿宋_GB2312" w:cs="仿宋_GB2312"/>
          <w:color w:val="000000"/>
          <w:kern w:val="0"/>
          <w:sz w:val="32"/>
          <w:szCs w:val="32"/>
          <w:lang w:val="en-US" w:eastAsia="zh-CN" w:bidi="ar"/>
        </w:rPr>
        <w:t>大水</w:t>
      </w:r>
      <w:r>
        <w:rPr>
          <w:rFonts w:hint="eastAsia" w:ascii="仿宋_GB2312" w:hAnsi="仿宋_GB2312" w:eastAsia="仿宋_GB2312" w:cs="仿宋_GB2312"/>
          <w:color w:val="000000"/>
          <w:kern w:val="0"/>
          <w:sz w:val="32"/>
          <w:szCs w:val="32"/>
          <w:lang w:val="en-US" w:eastAsia="zh-CN" w:bidi="ar"/>
        </w:rPr>
        <w:t>塘</w:t>
      </w:r>
      <w:r>
        <w:rPr>
          <w:rFonts w:hint="eastAsia" w:ascii="仿宋_GB2312" w:hAnsi="仿宋_GB2312" w:cs="仿宋_GB2312"/>
          <w:color w:val="000000"/>
          <w:kern w:val="0"/>
          <w:sz w:val="32"/>
          <w:szCs w:val="32"/>
          <w:lang w:val="en-US" w:eastAsia="zh-CN" w:bidi="ar"/>
        </w:rPr>
        <w:t>坝</w:t>
      </w:r>
      <w:r>
        <w:rPr>
          <w:rFonts w:hint="eastAsia" w:ascii="仿宋_GB2312" w:hAnsi="仿宋_GB2312" w:eastAsia="仿宋_GB2312" w:cs="仿宋_GB2312"/>
          <w:color w:val="000000"/>
          <w:kern w:val="0"/>
          <w:sz w:val="32"/>
          <w:szCs w:val="32"/>
          <w:lang w:val="en-US" w:eastAsia="zh-CN" w:bidi="ar"/>
        </w:rPr>
        <w:t>水库进行降等处理。</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6.2022年底地震宏观信息联络员补助地震宏观异常收集、上报、协助防震减灾部门开展地震科普知识宣传、震后灾害调查和信息上报。</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7.2022年中央水利发展（农业水价综合改革）完成编制《呈贡区农业水价改革松茂水库片区供水计量设施提升改造工程实施方案》，并在松茂水库出水口3根输水管道安装取水在线监测计量设施，其中1号DN300输水管道至缪家营社区蔬菜、果树灌溉用水，覆盖灌溉面积约1700亩，2号DN300输水管道至缪家营社区李旺山小尖山片区高效节水灌溉项目，覆盖灌溉面积2410亩，5号DN200管道至柏枝营内草莓园灌溉用水，每月用水8万m3，灌溉面积321亩。</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8.小型水库安全运行省级补助资金项目概况为呈贡区五座小型水库维修养护费用以及2座小型水库雨水情测报和大坝安全监测设施。</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9.昆明市呈贡区2022年大中型水库移民后期扶持技能培训项目培训对象为呈贡区所辖斗南街道办等 10 个街道办事处、59 个行政村的移民后期扶持在册享受补贴的农村移民群众，人数为 360 人。主要培训内容为农业技能和就业实用职业技能培训。项目实施受益移民人口 360 人。</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10.昆明市呈贡区2022年度大中型水库移民补助资金发放呈贡区2022年度大中型水库移民2223人补助资金。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11.2018年度大中型水库移民后期扶持专项资金发放呈贡区2018年度大中型水库移民2223人补助资金。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12.2019年度大中型水库移民后期扶持专项资金发放呈贡区2019年度大中型水库移民2223人补助资金。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13.2020年度大中型水库移民后期扶持专项资金发放呈贡区2020年度大中型水库移民2223人补助资金。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14.2021年度大中型水库移民后期扶持专项资金发放呈贡区2021年度大中型水库移民2223人补助资金。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 xml:space="preserve">15.昆明市2020年第二批省级库区基金维稳工作经费专项用于库区和移民安置区社会维稳工作。 </w:t>
      </w:r>
    </w:p>
    <w:p>
      <w:pPr>
        <w:keepNext w:val="0"/>
        <w:keepLines w:val="0"/>
        <w:pageBreakBefore w:val="0"/>
        <w:kinsoku/>
        <w:wordWrap/>
        <w:overflowPunct/>
        <w:bidi w:val="0"/>
        <w:snapToGrid/>
        <w:spacing w:line="560" w:lineRule="exact"/>
        <w:ind w:firstLine="594" w:firstLineChars="200"/>
        <w:jc w:val="both"/>
        <w:textAlignment w:val="auto"/>
        <w:outlineLvl w:val="0"/>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kern w:val="0"/>
          <w:sz w:val="32"/>
          <w:szCs w:val="32"/>
          <w:lang w:val="en-US" w:eastAsia="zh-CN"/>
        </w:rPr>
        <w:t>二</w:t>
      </w:r>
      <w:r>
        <w:rPr>
          <w:rFonts w:hint="eastAsia" w:ascii="楷体_GB2312" w:hAnsi="楷体_GB2312" w:eastAsia="楷体_GB2312" w:cs="楷体_GB2312"/>
          <w:bCs/>
          <w:kern w:val="0"/>
          <w:sz w:val="32"/>
          <w:szCs w:val="32"/>
        </w:rPr>
        <w:t>）绩效目标设定及指标完成情况</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1.绩效目标设定</w:t>
      </w:r>
    </w:p>
    <w:p>
      <w:pPr>
        <w:keepNext w:val="0"/>
        <w:keepLines w:val="0"/>
        <w:pageBreakBefore w:val="0"/>
        <w:numPr>
          <w:numId w:val="0"/>
        </w:numPr>
        <w:kinsoku/>
        <w:wordWrap/>
        <w:overflowPunct/>
        <w:topLinePunct w:val="0"/>
        <w:bidi w:val="0"/>
        <w:snapToGrid/>
        <w:spacing w:line="560" w:lineRule="exact"/>
        <w:ind w:right="0" w:rightChars="0" w:firstLine="594" w:firstLineChars="200"/>
        <w:jc w:val="both"/>
        <w:textAlignment w:val="auto"/>
        <w:outlineLvl w:val="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（1）呈贡区水利工程观测及工程养护项目保障水利工程安全运行和效益发挥。</w:t>
      </w:r>
    </w:p>
    <w:p>
      <w:pPr>
        <w:pStyle w:val="2"/>
        <w:keepNext w:val="0"/>
        <w:keepLines w:val="0"/>
        <w:pageBreakBefore w:val="0"/>
        <w:numPr>
          <w:numId w:val="0"/>
        </w:numPr>
        <w:kinsoku/>
        <w:wordWrap/>
        <w:overflowPunct/>
        <w:topLinePunct w:val="0"/>
        <w:bidi w:val="0"/>
        <w:snapToGrid/>
        <w:spacing w:line="560" w:lineRule="exact"/>
        <w:ind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（2）区管水利工程管理所站管理经费用于管理所（站）设施设备修缮、运行管理类物品购买、检查工具、农药汽油、生活生产物资、安保消防用品。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（3）保障呈贡区白龙潭水库向中央公园七步场大小塘子调水泵站正常运行。</w:t>
      </w:r>
    </w:p>
    <w:p>
      <w:pPr>
        <w:pStyle w:val="2"/>
        <w:keepNext w:val="0"/>
        <w:keepLines w:val="0"/>
        <w:pageBreakBefore w:val="0"/>
        <w:numPr>
          <w:ilvl w:val="0"/>
          <w:numId w:val="0"/>
        </w:numPr>
        <w:kinsoku/>
        <w:wordWrap/>
        <w:overflowPunct/>
        <w:topLinePunct w:val="0"/>
        <w:bidi w:val="0"/>
        <w:snapToGrid/>
        <w:spacing w:line="560" w:lineRule="exact"/>
        <w:ind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（4）高新区（马金铺）片区社会事务（水务类）用于</w:t>
      </w:r>
      <w:r>
        <w:rPr>
          <w:rFonts w:hint="eastAsia" w:ascii="仿宋_GB2312" w:hAnsi="仿宋_GB2312" w:eastAsia="仿宋_GB2312" w:cs="仿宋_GB2312"/>
          <w:spacing w:val="14"/>
          <w:sz w:val="32"/>
          <w:szCs w:val="32"/>
          <w:lang w:val="en-US" w:eastAsia="zh-CN"/>
        </w:rPr>
        <w:t>马金铺街道办事处中小型水库运行管理，确保水库大坝安全运行。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（5）吴家营街道办事处大水塘坝降等技术服务</w:t>
      </w:r>
      <w:r>
        <w:rPr>
          <w:rFonts w:hint="eastAsia" w:ascii="仿宋_GB2312" w:eastAsia="仿宋_GB2312"/>
          <w:sz w:val="32"/>
          <w:szCs w:val="32"/>
        </w:rPr>
        <w:t>随着</w:t>
      </w:r>
      <w:r>
        <w:rPr>
          <w:rFonts w:hint="eastAsia" w:ascii="仿宋_GB2312" w:eastAsia="仿宋_GB2312"/>
          <w:sz w:val="32"/>
          <w:szCs w:val="32"/>
          <w:lang w:eastAsia="zh-CN"/>
        </w:rPr>
        <w:t>城市化</w:t>
      </w:r>
      <w:r>
        <w:rPr>
          <w:rFonts w:hint="eastAsia" w:ascii="仿宋_GB2312" w:eastAsia="仿宋_GB2312"/>
          <w:sz w:val="32"/>
          <w:szCs w:val="32"/>
          <w:lang w:val="en-US" w:eastAsia="zh-CN"/>
        </w:rPr>
        <w:t>进程</w:t>
      </w:r>
      <w:r>
        <w:rPr>
          <w:rFonts w:hint="eastAsia" w:ascii="仿宋_GB2312" w:eastAsia="仿宋_GB2312"/>
          <w:sz w:val="32"/>
          <w:szCs w:val="32"/>
          <w:lang w:eastAsia="zh-CN"/>
        </w:rPr>
        <w:t>的推进，</w:t>
      </w:r>
      <w:r>
        <w:rPr>
          <w:rFonts w:hint="eastAsia" w:ascii="仿宋_GB2312" w:eastAsia="仿宋_GB2312"/>
          <w:sz w:val="32"/>
          <w:szCs w:val="32"/>
          <w:lang w:val="en-US" w:eastAsia="zh-CN"/>
        </w:rPr>
        <w:t>水库功能萎缩，</w:t>
      </w:r>
      <w:r>
        <w:rPr>
          <w:rFonts w:hint="eastAsia" w:ascii="仿宋_GB2312" w:eastAsia="仿宋_GB2312"/>
          <w:sz w:val="32"/>
          <w:szCs w:val="32"/>
        </w:rPr>
        <w:t>实际库容由原有的</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缩小到现在</w:t>
      </w:r>
      <w:r>
        <w:rPr>
          <w:rFonts w:hint="eastAsia" w:ascii="仿宋_GB2312" w:eastAsia="仿宋_GB2312"/>
          <w:sz w:val="32"/>
          <w:szCs w:val="32"/>
          <w:lang w:val="en-US" w:eastAsia="zh-CN"/>
        </w:rPr>
        <w:t>8.76</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，不足10万m</w:t>
      </w:r>
      <w:r>
        <w:rPr>
          <w:rFonts w:hint="eastAsia" w:ascii="宋体" w:hAnsi="宋体"/>
          <w:sz w:val="32"/>
          <w:szCs w:val="32"/>
        </w:rPr>
        <w:t>³</w:t>
      </w:r>
      <w:r>
        <w:rPr>
          <w:rFonts w:hint="eastAsia" w:ascii="仿宋_GB2312" w:eastAsia="仿宋_GB2312"/>
          <w:sz w:val="32"/>
          <w:szCs w:val="32"/>
        </w:rPr>
        <w:t>。</w:t>
      </w:r>
      <w:r>
        <w:rPr>
          <w:rFonts w:hint="eastAsia" w:ascii="仿宋_GB2312" w:hAnsi="仿宋_GB2312" w:eastAsia="仿宋_GB2312" w:cs="仿宋_GB2312"/>
          <w:sz w:val="32"/>
          <w:szCs w:val="32"/>
        </w:rPr>
        <w:t>水库原有的灌溉功能完全丧失</w:t>
      </w:r>
      <w:r>
        <w:rPr>
          <w:rFonts w:hint="eastAsia" w:ascii="仿宋_GB2312" w:hAnsi="仿宋_GB2312" w:eastAsia="仿宋_GB2312" w:cs="仿宋_GB2312"/>
          <w:color w:val="000000"/>
          <w:kern w:val="0"/>
          <w:sz w:val="32"/>
          <w:szCs w:val="32"/>
          <w:lang w:val="en-US" w:eastAsia="zh-CN" w:bidi="ar"/>
        </w:rPr>
        <w:t>，入库洪水流量减小,主要为城市景观水体功能。因此，根据《水库降等与报废评估导则》（SL/T791-2019）和《水库降等与报废标准》（SL605-2013）相关规定，同意对</w:t>
      </w:r>
      <w:r>
        <w:rPr>
          <w:rFonts w:hint="eastAsia" w:ascii="仿宋_GB2312" w:hAnsi="仿宋_GB2312" w:cs="仿宋_GB2312"/>
          <w:color w:val="000000"/>
          <w:kern w:val="0"/>
          <w:sz w:val="32"/>
          <w:szCs w:val="32"/>
          <w:lang w:val="en-US" w:eastAsia="zh-CN" w:bidi="ar"/>
        </w:rPr>
        <w:t>大水</w:t>
      </w:r>
      <w:r>
        <w:rPr>
          <w:rFonts w:hint="eastAsia" w:ascii="仿宋_GB2312" w:hAnsi="仿宋_GB2312" w:eastAsia="仿宋_GB2312" w:cs="仿宋_GB2312"/>
          <w:color w:val="000000"/>
          <w:kern w:val="0"/>
          <w:sz w:val="32"/>
          <w:szCs w:val="32"/>
          <w:lang w:val="en-US" w:eastAsia="zh-CN" w:bidi="ar"/>
        </w:rPr>
        <w:t>塘</w:t>
      </w:r>
      <w:r>
        <w:rPr>
          <w:rFonts w:hint="eastAsia" w:ascii="仿宋_GB2312" w:hAnsi="仿宋_GB2312" w:cs="仿宋_GB2312"/>
          <w:color w:val="000000"/>
          <w:kern w:val="0"/>
          <w:sz w:val="32"/>
          <w:szCs w:val="32"/>
          <w:lang w:val="en-US" w:eastAsia="zh-CN" w:bidi="ar"/>
        </w:rPr>
        <w:t>坝</w:t>
      </w:r>
      <w:r>
        <w:rPr>
          <w:rFonts w:hint="eastAsia" w:ascii="仿宋_GB2312" w:hAnsi="仿宋_GB2312" w:eastAsia="仿宋_GB2312" w:cs="仿宋_GB2312"/>
          <w:color w:val="000000"/>
          <w:kern w:val="0"/>
          <w:sz w:val="32"/>
          <w:szCs w:val="32"/>
          <w:lang w:val="en-US" w:eastAsia="zh-CN" w:bidi="ar"/>
        </w:rPr>
        <w:t>水库进行降等处理。</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（6）2022年底地震宏观信息联络员补助用于地震宏观异常收集、上报、协助防震减灾部门开展地震科普知识宣传、震后灾害调查和信息上报。</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（7）2022年中央水利发展（农业水价综合改革）完成呈贡区农业水价改革松茂水库片区供水计量设施提升改造工程。</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（8）小型水库安全运行省级补助资金项目用于小型水库安全运行。呈贡区五座小型水库维修养护以及2座小型水库雨水情测报和大坝安全监测设施。</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（9）昆明市呈贡区2022年大中型水库移民后期扶持技能培训项目培训对象为呈贡区所辖斗南街道办等 10 个街道办事处、59 个行政村的移民后期扶持在册享受补贴的农村移民群众，人数为 360 人。主要培训内容为农业技能和就业实用职业技能培训。项目实施受益移民人口 360 人。</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（10）昆明市呈贡区2022年度大中型水库移民补助资金发放呈贡区2022年度大中型水库移民2223人补助资金。</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（11）2018年度大中型水库移民后期扶持专项资金发放呈贡区2018年度大中型水库移民2223人补助资金。</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（12）2019年度大中型水库移民后期扶持专项资金发放呈贡区2019年度大中型水库移民2223人补助资金。</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（13）2020年度大中型水库移民后期扶持专项资金发放呈贡区2020年度大中型水库移民2223人补助资金。</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（14）2021年度大中型水库移民后期扶持专项资金发放呈贡区2021年度大中型水库移民2223人补助资金。</w:t>
      </w:r>
    </w:p>
    <w:p>
      <w:pPr>
        <w:pStyle w:val="2"/>
        <w:keepNext w:val="0"/>
        <w:keepLines w:val="0"/>
        <w:pageBreakBefore w:val="0"/>
        <w:numPr>
          <w:ilvl w:val="0"/>
          <w:numId w:val="0"/>
        </w:numPr>
        <w:kinsoku/>
        <w:wordWrap/>
        <w:overflowPunct/>
        <w:topLinePunct w:val="0"/>
        <w:bidi w:val="0"/>
        <w:snapToGrid/>
        <w:spacing w:line="560" w:lineRule="exact"/>
        <w:ind w:leftChars="200" w:right="0" w:righ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（15）昆明市2020年第二批省级库区基金维稳工作经费专项用于库区和移民安置区社会维稳工作。</w:t>
      </w:r>
    </w:p>
    <w:p>
      <w:pPr>
        <w:pStyle w:val="2"/>
        <w:keepNext w:val="0"/>
        <w:keepLines w:val="0"/>
        <w:pageBreakBefore w:val="0"/>
        <w:numPr>
          <w:ilvl w:val="0"/>
          <w:numId w:val="0"/>
        </w:numPr>
        <w:kinsoku/>
        <w:wordWrap/>
        <w:overflowPunct/>
        <w:bidi w:val="0"/>
        <w:snapToGrid/>
        <w:spacing w:line="560" w:lineRule="exact"/>
        <w:ind w:firstLine="1188" w:firstLineChars="4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2.指标完成情况</w:t>
      </w:r>
    </w:p>
    <w:p>
      <w:pPr>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outlineLvl w:val="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呈贡区水利工程观测及工程养护项目保障水利工程安全运行和效益发挥。</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区管水利工程管理所站管理经费用于管理所（站）设施设备修缮、运行管理类物品购买、检查工具、农药汽油、生活生产物资、安保消防用品。</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425" w:leftChars="0"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保障呈贡区白龙潭水库向中央公园七步场大小塘子调水泵站正常运行。</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高新区（马金铺）片区社会事务（水务类）用于</w:t>
      </w:r>
      <w:r>
        <w:rPr>
          <w:rFonts w:hint="eastAsia" w:ascii="仿宋_GB2312" w:hAnsi="仿宋_GB2312" w:eastAsia="仿宋_GB2312" w:cs="仿宋_GB2312"/>
          <w:spacing w:val="14"/>
          <w:sz w:val="32"/>
          <w:szCs w:val="32"/>
          <w:lang w:val="en-US" w:eastAsia="zh-CN"/>
        </w:rPr>
        <w:t>马金铺街道办事处中小型水库运行管理，确保水库大坝安全运行。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吴家营街道办事处大水塘坝降等技术服务</w:t>
      </w:r>
      <w:r>
        <w:rPr>
          <w:rFonts w:hint="eastAsia" w:ascii="仿宋_GB2312" w:eastAsia="仿宋_GB2312"/>
          <w:sz w:val="32"/>
          <w:szCs w:val="32"/>
        </w:rPr>
        <w:t>随着</w:t>
      </w:r>
      <w:r>
        <w:rPr>
          <w:rFonts w:hint="eastAsia" w:ascii="仿宋_GB2312" w:eastAsia="仿宋_GB2312"/>
          <w:sz w:val="32"/>
          <w:szCs w:val="32"/>
          <w:lang w:eastAsia="zh-CN"/>
        </w:rPr>
        <w:t>城市化</w:t>
      </w:r>
      <w:r>
        <w:rPr>
          <w:rFonts w:hint="eastAsia" w:ascii="仿宋_GB2312" w:eastAsia="仿宋_GB2312"/>
          <w:sz w:val="32"/>
          <w:szCs w:val="32"/>
          <w:lang w:val="en-US" w:eastAsia="zh-CN"/>
        </w:rPr>
        <w:t>进程</w:t>
      </w:r>
      <w:r>
        <w:rPr>
          <w:rFonts w:hint="eastAsia" w:ascii="仿宋_GB2312" w:eastAsia="仿宋_GB2312"/>
          <w:sz w:val="32"/>
          <w:szCs w:val="32"/>
          <w:lang w:eastAsia="zh-CN"/>
        </w:rPr>
        <w:t>的推进，</w:t>
      </w:r>
      <w:r>
        <w:rPr>
          <w:rFonts w:hint="eastAsia" w:ascii="仿宋_GB2312" w:eastAsia="仿宋_GB2312"/>
          <w:sz w:val="32"/>
          <w:szCs w:val="32"/>
          <w:lang w:val="en-US" w:eastAsia="zh-CN"/>
        </w:rPr>
        <w:t>水库功能萎缩，</w:t>
      </w:r>
      <w:r>
        <w:rPr>
          <w:rFonts w:hint="eastAsia" w:ascii="仿宋_GB2312" w:eastAsia="仿宋_GB2312"/>
          <w:sz w:val="32"/>
          <w:szCs w:val="32"/>
        </w:rPr>
        <w:t>实际库容由原有的</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缩小到现在</w:t>
      </w:r>
      <w:r>
        <w:rPr>
          <w:rFonts w:hint="eastAsia" w:ascii="仿宋_GB2312" w:eastAsia="仿宋_GB2312"/>
          <w:sz w:val="32"/>
          <w:szCs w:val="32"/>
          <w:lang w:val="en-US" w:eastAsia="zh-CN"/>
        </w:rPr>
        <w:t>8.76</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，不足10万m</w:t>
      </w:r>
      <w:r>
        <w:rPr>
          <w:rFonts w:hint="eastAsia" w:ascii="宋体" w:hAnsi="宋体"/>
          <w:sz w:val="32"/>
          <w:szCs w:val="32"/>
        </w:rPr>
        <w:t>³</w:t>
      </w:r>
      <w:r>
        <w:rPr>
          <w:rFonts w:hint="eastAsia" w:ascii="仿宋_GB2312" w:eastAsia="仿宋_GB2312"/>
          <w:sz w:val="32"/>
          <w:szCs w:val="32"/>
        </w:rPr>
        <w:t>。</w:t>
      </w:r>
      <w:r>
        <w:rPr>
          <w:rFonts w:hint="eastAsia" w:ascii="仿宋_GB2312" w:hAnsi="仿宋_GB2312" w:eastAsia="仿宋_GB2312" w:cs="仿宋_GB2312"/>
          <w:sz w:val="32"/>
          <w:szCs w:val="32"/>
        </w:rPr>
        <w:t>水库原有的灌溉功能完全丧失</w:t>
      </w:r>
      <w:r>
        <w:rPr>
          <w:rFonts w:hint="eastAsia" w:ascii="仿宋_GB2312" w:hAnsi="仿宋_GB2312" w:eastAsia="仿宋_GB2312" w:cs="仿宋_GB2312"/>
          <w:color w:val="000000"/>
          <w:kern w:val="0"/>
          <w:sz w:val="32"/>
          <w:szCs w:val="32"/>
          <w:lang w:val="en-US" w:eastAsia="zh-CN" w:bidi="ar"/>
        </w:rPr>
        <w:t>，入库洪水流量减小,主要为城市景观水体功能。因此，根据《水库降等与报废评估导则》（SL/T791-2019）和《水库降等与报废标准》（SL605-2013）相关规定，同意对</w:t>
      </w:r>
      <w:r>
        <w:rPr>
          <w:rFonts w:hint="eastAsia" w:ascii="仿宋_GB2312" w:hAnsi="仿宋_GB2312" w:cs="仿宋_GB2312"/>
          <w:color w:val="000000"/>
          <w:kern w:val="0"/>
          <w:sz w:val="32"/>
          <w:szCs w:val="32"/>
          <w:lang w:val="en-US" w:eastAsia="zh-CN" w:bidi="ar"/>
        </w:rPr>
        <w:t>大水</w:t>
      </w:r>
      <w:r>
        <w:rPr>
          <w:rFonts w:hint="eastAsia" w:ascii="仿宋_GB2312" w:hAnsi="仿宋_GB2312" w:eastAsia="仿宋_GB2312" w:cs="仿宋_GB2312"/>
          <w:color w:val="000000"/>
          <w:kern w:val="0"/>
          <w:sz w:val="32"/>
          <w:szCs w:val="32"/>
          <w:lang w:val="en-US" w:eastAsia="zh-CN" w:bidi="ar"/>
        </w:rPr>
        <w:t>塘</w:t>
      </w:r>
      <w:r>
        <w:rPr>
          <w:rFonts w:hint="eastAsia" w:ascii="仿宋_GB2312" w:hAnsi="仿宋_GB2312" w:cs="仿宋_GB2312"/>
          <w:color w:val="000000"/>
          <w:kern w:val="0"/>
          <w:sz w:val="32"/>
          <w:szCs w:val="32"/>
          <w:lang w:val="en-US" w:eastAsia="zh-CN" w:bidi="ar"/>
        </w:rPr>
        <w:t>坝</w:t>
      </w:r>
      <w:r>
        <w:rPr>
          <w:rFonts w:hint="eastAsia" w:ascii="仿宋_GB2312" w:hAnsi="仿宋_GB2312" w:eastAsia="仿宋_GB2312" w:cs="仿宋_GB2312"/>
          <w:color w:val="000000"/>
          <w:kern w:val="0"/>
          <w:sz w:val="32"/>
          <w:szCs w:val="32"/>
          <w:lang w:val="en-US" w:eastAsia="zh-CN" w:bidi="ar"/>
        </w:rPr>
        <w:t>水库进行降等处理。</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2022年底地震宏观信息联络员补助用于地震宏观异常收集、上报、协助防震减灾部门开展地震科普知识宣传、震后灾害调查和信息上报。</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2022年中央水利发展（农业水价综合改革）呈贡区农业水价改革松茂水库片区供水计量设施提升改造工程建设。</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小型水库安全运行省级补助资金项目用于小型水库安全运行。呈贡区五座小型水库维修养护以及2座小型水库雨水情测报和大坝安全监测设施。</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昆明市呈贡区2022年大中型水库移民后期扶持技能培训项目培训对象为呈贡区所辖斗南街道办等 10 个街道办事处、59 个行政村的移民后期扶持在册享受补贴的农村移民群众，人数为 360 人。主要培训内容为农业技能和就业实用职业技能培训。项目实施受益移民人口 360 人。</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昆明市呈贡区2022年度大中型水库移民补助资金发放呈贡区2022年度大中型水库移民2223人补助资金。</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2018年度大中型水库移民后期扶持专项资金发放呈贡区2018年度大中型水库移民2223人补助资金。</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2019年度大中型水库移民后期扶持专项资金发放呈贡区2019年度大中型水库移民2223人补助资金。</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2020年度大中型水库移民后期扶持专项资金发放呈贡区2020年度大中型水库移民2223人补助资金。</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2021年度大中型水库移民后期扶持专项资金发放呈贡区2021年度大中型水库移民2223人补助资金。</w:t>
      </w:r>
    </w:p>
    <w:p>
      <w:pPr>
        <w:pStyle w:val="2"/>
        <w:keepNext w:val="0"/>
        <w:keepLines w:val="0"/>
        <w:pageBreakBefore w:val="0"/>
        <w:numPr>
          <w:ilvl w:val="0"/>
          <w:numId w:val="1"/>
        </w:numPr>
        <w:kinsoku/>
        <w:wordWrap/>
        <w:overflowPunct/>
        <w:bidi w:val="0"/>
        <w:snapToGrid/>
        <w:spacing w:line="560" w:lineRule="exact"/>
        <w:ind w:left="425" w:leftChars="0"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昆明市2020年第二批省级库区基金维稳工作经费专项用于库区和移民安置区社会维稳工作。</w:t>
      </w:r>
    </w:p>
    <w:p>
      <w:pPr>
        <w:keepNext w:val="0"/>
        <w:keepLines w:val="0"/>
        <w:pageBreakBefore w:val="0"/>
        <w:kinsoku/>
        <w:wordWrap/>
        <w:overflowPunct/>
        <w:topLinePunct/>
        <w:bidi w:val="0"/>
        <w:snapToGrid/>
        <w:spacing w:line="560" w:lineRule="exact"/>
        <w:ind w:firstLine="594" w:firstLineChars="200"/>
        <w:jc w:val="both"/>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suppressLineNumbers w:val="0"/>
        <w:kinsoku/>
        <w:wordWrap/>
        <w:overflowPunct/>
        <w:topLinePunct/>
        <w:bidi w:val="0"/>
        <w:snapToGrid/>
        <w:spacing w:before="0" w:beforeAutospacing="0" w:after="0" w:afterAutospacing="0" w:line="560" w:lineRule="exact"/>
        <w:ind w:left="0" w:right="0" w:firstLine="594"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2022年度年初预算安排资金</w:t>
      </w:r>
      <w:r>
        <w:rPr>
          <w:rFonts w:hint="eastAsia" w:ascii="仿宋_GB2312" w:hAnsi="仿宋_GB2312" w:cs="仿宋_GB2312"/>
          <w:kern w:val="2"/>
          <w:sz w:val="32"/>
          <w:szCs w:val="32"/>
          <w:lang w:val="en-US" w:eastAsia="zh-CN" w:bidi="ar"/>
        </w:rPr>
        <w:t>417.72万元，年度内调减预算126.35</w:t>
      </w:r>
      <w:r>
        <w:rPr>
          <w:rFonts w:hint="eastAsia" w:ascii="仿宋_GB2312" w:hAnsi="仿宋_GB2312" w:eastAsia="仿宋_GB2312" w:cs="仿宋_GB2312"/>
          <w:kern w:val="2"/>
          <w:sz w:val="32"/>
          <w:szCs w:val="32"/>
          <w:lang w:val="en-US" w:eastAsia="zh-CN" w:bidi="ar"/>
        </w:rPr>
        <w:t>万元，</w:t>
      </w:r>
      <w:r>
        <w:rPr>
          <w:rFonts w:hint="eastAsia" w:ascii="仿宋_GB2312" w:hAnsi="仿宋_GB2312" w:cs="仿宋_GB2312"/>
          <w:kern w:val="2"/>
          <w:sz w:val="32"/>
          <w:szCs w:val="32"/>
          <w:lang w:val="en-US" w:eastAsia="zh-CN" w:bidi="ar"/>
        </w:rPr>
        <w:t>实际到位资金291.37万元，</w:t>
      </w:r>
      <w:r>
        <w:rPr>
          <w:rFonts w:hint="eastAsia" w:ascii="仿宋_GB2312" w:hAnsi="仿宋_GB2312" w:eastAsia="仿宋_GB2312" w:cs="仿宋_GB2312"/>
          <w:kern w:val="2"/>
          <w:sz w:val="32"/>
          <w:szCs w:val="32"/>
          <w:lang w:val="en-US" w:eastAsia="zh-CN" w:bidi="ar"/>
        </w:rPr>
        <w:t>实际支出</w:t>
      </w:r>
      <w:r>
        <w:rPr>
          <w:rFonts w:hint="eastAsia" w:ascii="仿宋_GB2312" w:hAnsi="仿宋_GB2312" w:cs="仿宋_GB2312"/>
          <w:kern w:val="2"/>
          <w:sz w:val="32"/>
          <w:szCs w:val="32"/>
          <w:lang w:val="en-US" w:eastAsia="zh-CN" w:bidi="ar"/>
        </w:rPr>
        <w:t>291.37</w:t>
      </w:r>
      <w:r>
        <w:rPr>
          <w:rFonts w:hint="eastAsia" w:ascii="仿宋_GB2312" w:hAnsi="仿宋_GB2312" w:eastAsia="仿宋_GB2312" w:cs="仿宋_GB2312"/>
          <w:kern w:val="2"/>
          <w:sz w:val="32"/>
          <w:szCs w:val="32"/>
          <w:lang w:val="en-US" w:eastAsia="zh-CN" w:bidi="ar"/>
        </w:rPr>
        <w:t>万元</w:t>
      </w:r>
      <w:r>
        <w:rPr>
          <w:rFonts w:hint="eastAsia" w:ascii="仿宋_GB2312" w:hAnsi="仿宋_GB2312" w:cs="仿宋_GB2312"/>
          <w:kern w:val="2"/>
          <w:sz w:val="32"/>
          <w:szCs w:val="32"/>
          <w:lang w:val="en-US" w:eastAsia="zh-CN" w:bidi="ar"/>
        </w:rPr>
        <w:t>。</w:t>
      </w:r>
      <w:bookmarkStart w:id="3" w:name="_GoBack"/>
      <w:bookmarkEnd w:id="3"/>
    </w:p>
    <w:p>
      <w:pPr>
        <w:keepNext w:val="0"/>
        <w:keepLines w:val="0"/>
        <w:pageBreakBefore w:val="0"/>
        <w:widowControl w:val="0"/>
        <w:suppressLineNumbers w:val="0"/>
        <w:kinsoku/>
        <w:wordWrap/>
        <w:overflowPunct/>
        <w:topLinePunct/>
        <w:bidi w:val="0"/>
        <w:snapToGrid/>
        <w:spacing w:before="0" w:beforeAutospacing="0" w:after="0" w:afterAutospacing="0" w:line="560" w:lineRule="exact"/>
        <w:ind w:left="0" w:right="0" w:firstLine="59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工程资金严格按照资金的使用规定与要求，做到专款专用，不存在超项目范围、超开支标准、超项目概（预）算使用的资金；不存在挪用、转借、截留建设资金现象；项目建设单位财务会计机构健全，会计核算规范。资金分配和使用方向与资金管理办法相符。工程建设按进度对工程进行计量及支付进度款。</w:t>
      </w:r>
    </w:p>
    <w:p>
      <w:pPr>
        <w:keepNext w:val="0"/>
        <w:keepLines w:val="0"/>
        <w:pageBreakBefore w:val="0"/>
        <w:numPr>
          <w:ilvl w:val="0"/>
          <w:numId w:val="2"/>
        </w:numPr>
        <w:kinsoku/>
        <w:wordWrap/>
        <w:overflowPunct/>
        <w:topLinePunct/>
        <w:bidi w:val="0"/>
        <w:snapToGrid/>
        <w:spacing w:line="560" w:lineRule="exact"/>
        <w:ind w:left="-2" w:leftChars="0" w:firstLine="594" w:firstLineChars="0"/>
        <w:jc w:val="both"/>
        <w:textAlignment w:val="auto"/>
        <w:rPr>
          <w:rFonts w:hint="eastAsia" w:ascii="黑体" w:eastAsia="黑体"/>
          <w:szCs w:val="32"/>
          <w:lang w:eastAsia="zh-CN"/>
        </w:rPr>
      </w:pPr>
      <w:r>
        <w:rPr>
          <w:rFonts w:hint="eastAsia" w:ascii="黑体" w:eastAsia="黑体"/>
          <w:szCs w:val="32"/>
          <w:lang w:eastAsia="zh-CN"/>
        </w:rPr>
        <w:t>项目组织实施情况</w:t>
      </w:r>
    </w:p>
    <w:p>
      <w:pPr>
        <w:keepNext w:val="0"/>
        <w:keepLines w:val="0"/>
        <w:pageBreakBefore w:val="0"/>
        <w:kinsoku/>
        <w:wordWrap/>
        <w:overflowPunct/>
        <w:bidi w:val="0"/>
        <w:snapToGrid/>
        <w:spacing w:line="560" w:lineRule="exact"/>
        <w:ind w:firstLine="594" w:firstLineChars="200"/>
        <w:jc w:val="both"/>
        <w:textAlignment w:val="auto"/>
        <w:outlineLvl w:val="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1.呈贡区水利工程观测及工程养护项目完成建设内容为中型水库1座工程观测及工程养护，小1型水库2座工程观测及工程养护，小2型水库4座工程观测及工程养护。</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2.区管水利工程管理所站管理经费6个区管水利工程管理所（站）工作管理经费。2022年主要用于管理所（站）设施设备修缮、运行管理类物品购买、检查工具、农药汽油、生活生产物资、安保消防用品。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3.保障呈贡区白龙潭水库向中央公园七步场大小塘子调水泵站正常运行。</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4.高新区（马金铺）片区社会事务（水务类）用于</w:t>
      </w:r>
      <w:r>
        <w:rPr>
          <w:rFonts w:hint="eastAsia" w:ascii="仿宋_GB2312" w:hAnsi="仿宋_GB2312" w:eastAsia="仿宋_GB2312" w:cs="仿宋_GB2312"/>
          <w:spacing w:val="14"/>
          <w:sz w:val="32"/>
          <w:szCs w:val="32"/>
          <w:lang w:val="en-US" w:eastAsia="zh-CN"/>
        </w:rPr>
        <w:t>马金铺街道办事处</w:t>
      </w:r>
      <w:r>
        <w:rPr>
          <w:rFonts w:hint="eastAsia" w:hAnsi="仿宋_GB2312" w:cs="仿宋_GB2312"/>
          <w:spacing w:val="14"/>
          <w:sz w:val="32"/>
          <w:szCs w:val="32"/>
          <w:lang w:val="en-US" w:eastAsia="zh-CN"/>
        </w:rPr>
        <w:t>完成建设内容为</w:t>
      </w:r>
      <w:r>
        <w:rPr>
          <w:rFonts w:hint="eastAsia" w:ascii="仿宋_GB2312" w:hAnsi="仿宋_GB2312" w:eastAsia="仿宋_GB2312" w:cs="仿宋_GB2312"/>
          <w:spacing w:val="14"/>
          <w:sz w:val="32"/>
          <w:szCs w:val="32"/>
          <w:lang w:val="en-US" w:eastAsia="zh-CN"/>
        </w:rPr>
        <w:t>中小型水库运行管理，确保水库大坝安全运行。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5.吴家营街道办事处大水塘坝降等技术服务</w:t>
      </w:r>
      <w:r>
        <w:rPr>
          <w:rFonts w:hint="eastAsia" w:ascii="仿宋_GB2312" w:eastAsia="仿宋_GB2312"/>
          <w:sz w:val="32"/>
          <w:szCs w:val="32"/>
        </w:rPr>
        <w:t>吴家营街道</w:t>
      </w:r>
      <w:r>
        <w:rPr>
          <w:rFonts w:hint="eastAsia" w:ascii="仿宋_GB2312" w:eastAsia="仿宋_GB2312"/>
          <w:sz w:val="32"/>
          <w:szCs w:val="32"/>
          <w:lang w:val="en-US" w:eastAsia="zh-CN"/>
        </w:rPr>
        <w:t>办事处</w:t>
      </w:r>
      <w:r>
        <w:rPr>
          <w:rFonts w:hint="eastAsia" w:ascii="仿宋_GB2312" w:eastAsia="仿宋_GB2312"/>
          <w:sz w:val="32"/>
          <w:szCs w:val="32"/>
        </w:rPr>
        <w:t>大水塘坝水库</w:t>
      </w:r>
      <w:r>
        <w:rPr>
          <w:rFonts w:hint="eastAsia" w:ascii="仿宋_GB2312" w:eastAsia="仿宋_GB2312"/>
          <w:sz w:val="32"/>
          <w:szCs w:val="32"/>
          <w:lang w:eastAsia="zh-CN"/>
        </w:rPr>
        <w:t>，</w:t>
      </w:r>
      <w:r>
        <w:rPr>
          <w:rFonts w:hint="eastAsia" w:ascii="仿宋_GB2312" w:eastAsia="仿宋_GB2312"/>
          <w:sz w:val="32"/>
          <w:szCs w:val="32"/>
        </w:rPr>
        <w:t>随着</w:t>
      </w:r>
      <w:r>
        <w:rPr>
          <w:rFonts w:hint="eastAsia" w:ascii="仿宋_GB2312" w:eastAsia="仿宋_GB2312"/>
          <w:sz w:val="32"/>
          <w:szCs w:val="32"/>
          <w:lang w:eastAsia="zh-CN"/>
        </w:rPr>
        <w:t>城市化</w:t>
      </w:r>
      <w:r>
        <w:rPr>
          <w:rFonts w:hint="eastAsia" w:ascii="仿宋_GB2312" w:eastAsia="仿宋_GB2312"/>
          <w:sz w:val="32"/>
          <w:szCs w:val="32"/>
          <w:lang w:val="en-US" w:eastAsia="zh-CN"/>
        </w:rPr>
        <w:t>进程</w:t>
      </w:r>
      <w:r>
        <w:rPr>
          <w:rFonts w:hint="eastAsia" w:ascii="仿宋_GB2312" w:eastAsia="仿宋_GB2312"/>
          <w:sz w:val="32"/>
          <w:szCs w:val="32"/>
          <w:lang w:eastAsia="zh-CN"/>
        </w:rPr>
        <w:t>的推进，</w:t>
      </w:r>
      <w:r>
        <w:rPr>
          <w:rFonts w:hint="eastAsia" w:ascii="仿宋_GB2312" w:eastAsia="仿宋_GB2312"/>
          <w:sz w:val="32"/>
          <w:szCs w:val="32"/>
          <w:lang w:val="en-US" w:eastAsia="zh-CN"/>
        </w:rPr>
        <w:t>水库功能萎缩，</w:t>
      </w:r>
      <w:r>
        <w:rPr>
          <w:rFonts w:hint="eastAsia" w:ascii="仿宋_GB2312" w:eastAsia="仿宋_GB2312"/>
          <w:sz w:val="32"/>
          <w:szCs w:val="32"/>
        </w:rPr>
        <w:t>实际库容由原有的</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缩小到现在</w:t>
      </w:r>
      <w:r>
        <w:rPr>
          <w:rFonts w:hint="eastAsia" w:ascii="仿宋_GB2312" w:eastAsia="仿宋_GB2312"/>
          <w:sz w:val="32"/>
          <w:szCs w:val="32"/>
          <w:lang w:val="en-US" w:eastAsia="zh-CN"/>
        </w:rPr>
        <w:t>8.76</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，不足10万m</w:t>
      </w:r>
      <w:r>
        <w:rPr>
          <w:rFonts w:hint="eastAsia" w:ascii="宋体" w:hAnsi="宋体"/>
          <w:sz w:val="32"/>
          <w:szCs w:val="32"/>
        </w:rPr>
        <w:t>³</w:t>
      </w:r>
      <w:r>
        <w:rPr>
          <w:rFonts w:hint="eastAsia" w:ascii="仿宋_GB2312" w:eastAsia="仿宋_GB2312"/>
          <w:sz w:val="32"/>
          <w:szCs w:val="32"/>
        </w:rPr>
        <w:t>。</w:t>
      </w:r>
      <w:r>
        <w:rPr>
          <w:rFonts w:hint="eastAsia" w:ascii="仿宋_GB2312" w:hAnsi="仿宋_GB2312" w:eastAsia="仿宋_GB2312" w:cs="仿宋_GB2312"/>
          <w:sz w:val="32"/>
          <w:szCs w:val="32"/>
        </w:rPr>
        <w:t>水库原有的灌溉功能完全丧失</w:t>
      </w:r>
      <w:r>
        <w:rPr>
          <w:rFonts w:hint="eastAsia" w:ascii="仿宋_GB2312" w:hAnsi="仿宋_GB2312" w:eastAsia="仿宋_GB2312" w:cs="仿宋_GB2312"/>
          <w:color w:val="000000"/>
          <w:kern w:val="0"/>
          <w:sz w:val="32"/>
          <w:szCs w:val="32"/>
          <w:lang w:val="en-US" w:eastAsia="zh-CN" w:bidi="ar"/>
        </w:rPr>
        <w:t>，入库洪水流量减小,主要为城市景观水体功能。因此，根据《水库降等与报废评估导则》（SL/T791-2019）和《水库降等与报废标准》（SL605-2013）相关规定，同意对</w:t>
      </w:r>
      <w:r>
        <w:rPr>
          <w:rFonts w:hint="eastAsia" w:ascii="仿宋_GB2312" w:hAnsi="仿宋_GB2312" w:cs="仿宋_GB2312"/>
          <w:color w:val="000000"/>
          <w:kern w:val="0"/>
          <w:sz w:val="32"/>
          <w:szCs w:val="32"/>
          <w:lang w:val="en-US" w:eastAsia="zh-CN" w:bidi="ar"/>
        </w:rPr>
        <w:t>大水</w:t>
      </w:r>
      <w:r>
        <w:rPr>
          <w:rFonts w:hint="eastAsia" w:ascii="仿宋_GB2312" w:hAnsi="仿宋_GB2312" w:eastAsia="仿宋_GB2312" w:cs="仿宋_GB2312"/>
          <w:color w:val="000000"/>
          <w:kern w:val="0"/>
          <w:sz w:val="32"/>
          <w:szCs w:val="32"/>
          <w:lang w:val="en-US" w:eastAsia="zh-CN" w:bidi="ar"/>
        </w:rPr>
        <w:t>塘</w:t>
      </w:r>
      <w:r>
        <w:rPr>
          <w:rFonts w:hint="eastAsia" w:ascii="仿宋_GB2312" w:hAnsi="仿宋_GB2312" w:cs="仿宋_GB2312"/>
          <w:color w:val="000000"/>
          <w:kern w:val="0"/>
          <w:sz w:val="32"/>
          <w:szCs w:val="32"/>
          <w:lang w:val="en-US" w:eastAsia="zh-CN" w:bidi="ar"/>
        </w:rPr>
        <w:t>坝</w:t>
      </w:r>
      <w:r>
        <w:rPr>
          <w:rFonts w:hint="eastAsia" w:ascii="仿宋_GB2312" w:hAnsi="仿宋_GB2312" w:eastAsia="仿宋_GB2312" w:cs="仿宋_GB2312"/>
          <w:color w:val="000000"/>
          <w:kern w:val="0"/>
          <w:sz w:val="32"/>
          <w:szCs w:val="32"/>
          <w:lang w:val="en-US" w:eastAsia="zh-CN" w:bidi="ar"/>
        </w:rPr>
        <w:t>水库进行降等处理。</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6.2022年底地震宏观信息联络员补助地震宏观异常收集、上报、协助防震减灾部门开展地震科普知识宣传、震后灾害调查和信息上报。</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7.2022年中央水利发展（农业水价综合改革）完成呈贡区农业水价改革松茂水库片区供水计量设施提升改造工程建设。</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8.小型水库安全运行省级补助资金项目建设内容为呈贡区五座小型水库维修养护费用以及2座小型水库雨水情测报和大坝安全监测设施。</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9.昆明市呈贡区2022年大中型水库移民后期扶持技能培训项目培训对象为呈贡区所辖斗南街道办等 10 个街道办事处、59 个行政村的移民后期扶持在册享受补贴的农村移民群众，人数为 360 人。主要培训内容为农业技能和就业实用职业技能培训。项目实施受益移民人口 360 人。</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10.昆明市呈贡区2022年度大中型水库移民补助资金发放呈贡区2022年度大中型水库移民2223人补助资金。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11.2018年度大中型水库移民后期扶持专项资金发放呈贡区2018年度大中型水库移民2223人补助资金。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12.2019年度大中型水库移民后期扶持专项资金发放呈贡区2019年度大中型水库移民2223人补助资金。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13.2020年度大中型水库移民后期扶持专项资金发放呈贡区2020年度大中型水库移民2223人补助资金。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14.2021年度大中型水库移民后期扶持专项资金发放呈贡区2021年度大中型水库移民2223人补助资金。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lang w:eastAsia="zh-CN"/>
        </w:rPr>
      </w:pPr>
      <w:r>
        <w:rPr>
          <w:rFonts w:hint="eastAsia" w:hAnsi="仿宋_GB2312" w:cs="仿宋_GB2312"/>
          <w:color w:val="000000"/>
          <w:sz w:val="32"/>
          <w:szCs w:val="32"/>
          <w:lang w:val="en-US" w:eastAsia="zh-CN"/>
        </w:rPr>
        <w:t xml:space="preserve">15.昆明市2020年第二批省级库区基金维稳工作经费专项用于库区和移民安置区社会维稳工作。 </w:t>
      </w:r>
    </w:p>
    <w:p>
      <w:pPr>
        <w:keepNext w:val="0"/>
        <w:keepLines w:val="0"/>
        <w:pageBreakBefore w:val="0"/>
        <w:kinsoku/>
        <w:wordWrap/>
        <w:overflowPunct/>
        <w:topLinePunct/>
        <w:bidi w:val="0"/>
        <w:snapToGrid/>
        <w:spacing w:line="560" w:lineRule="exact"/>
        <w:ind w:firstLine="594" w:firstLineChars="200"/>
        <w:jc w:val="both"/>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bidi w:val="0"/>
        <w:snapToGrid/>
        <w:spacing w:line="560" w:lineRule="exact"/>
        <w:ind w:firstLine="594" w:firstLineChars="200"/>
        <w:jc w:val="both"/>
        <w:textAlignment w:val="auto"/>
        <w:outlineLvl w:val="0"/>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1.呈贡区水利工程观测及工程养护项目完成建设内容为中型水库1座工程观测及工程养护，小1型水库2座工程观测及工程养护，小2型水库4座工程观测及工程养护。</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2.区管水利工程管理所站管理经费6个区管水利工程管理所（站）工作管理经费。2022年主要用于管理所（站）设施设备修缮、运行管理类物品购买、检查工具、农药汽油、生活生产物资、安保消防用品。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3.保障呈贡区白龙潭水库向中央公园七步场大小塘子调水泵站正常运行。</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4.高新区（马金铺）片区社会事务（水务类）用于</w:t>
      </w:r>
      <w:r>
        <w:rPr>
          <w:rFonts w:hint="eastAsia" w:ascii="仿宋_GB2312" w:hAnsi="仿宋_GB2312" w:eastAsia="仿宋_GB2312" w:cs="仿宋_GB2312"/>
          <w:spacing w:val="14"/>
          <w:sz w:val="32"/>
          <w:szCs w:val="32"/>
          <w:lang w:val="en-US" w:eastAsia="zh-CN"/>
        </w:rPr>
        <w:t>马金铺街道办事处</w:t>
      </w:r>
      <w:r>
        <w:rPr>
          <w:rFonts w:hint="eastAsia" w:hAnsi="仿宋_GB2312" w:cs="仿宋_GB2312"/>
          <w:spacing w:val="14"/>
          <w:sz w:val="32"/>
          <w:szCs w:val="32"/>
          <w:lang w:val="en-US" w:eastAsia="zh-CN"/>
        </w:rPr>
        <w:t>完成建设内容为</w:t>
      </w:r>
      <w:r>
        <w:rPr>
          <w:rFonts w:hint="eastAsia" w:ascii="仿宋_GB2312" w:hAnsi="仿宋_GB2312" w:eastAsia="仿宋_GB2312" w:cs="仿宋_GB2312"/>
          <w:spacing w:val="14"/>
          <w:sz w:val="32"/>
          <w:szCs w:val="32"/>
          <w:lang w:val="en-US" w:eastAsia="zh-CN"/>
        </w:rPr>
        <w:t>中小型水库运行管理，确保水库大坝安全运行。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5.吴家营街道办事处大水塘坝降等技术服务</w:t>
      </w:r>
      <w:r>
        <w:rPr>
          <w:rFonts w:hint="eastAsia" w:ascii="仿宋_GB2312" w:eastAsia="仿宋_GB2312"/>
          <w:sz w:val="32"/>
          <w:szCs w:val="32"/>
        </w:rPr>
        <w:t>吴家营街道</w:t>
      </w:r>
      <w:r>
        <w:rPr>
          <w:rFonts w:hint="eastAsia" w:ascii="仿宋_GB2312" w:eastAsia="仿宋_GB2312"/>
          <w:sz w:val="32"/>
          <w:szCs w:val="32"/>
          <w:lang w:val="en-US" w:eastAsia="zh-CN"/>
        </w:rPr>
        <w:t>办事处</w:t>
      </w:r>
      <w:r>
        <w:rPr>
          <w:rFonts w:hint="eastAsia" w:ascii="仿宋_GB2312" w:eastAsia="仿宋_GB2312"/>
          <w:sz w:val="32"/>
          <w:szCs w:val="32"/>
        </w:rPr>
        <w:t>大水塘坝水库</w:t>
      </w:r>
      <w:r>
        <w:rPr>
          <w:rFonts w:hint="eastAsia" w:ascii="仿宋_GB2312" w:eastAsia="仿宋_GB2312"/>
          <w:sz w:val="32"/>
          <w:szCs w:val="32"/>
          <w:lang w:eastAsia="zh-CN"/>
        </w:rPr>
        <w:t>，</w:t>
      </w:r>
      <w:r>
        <w:rPr>
          <w:rFonts w:hint="eastAsia" w:ascii="仿宋_GB2312" w:eastAsia="仿宋_GB2312"/>
          <w:sz w:val="32"/>
          <w:szCs w:val="32"/>
        </w:rPr>
        <w:t>随着</w:t>
      </w:r>
      <w:r>
        <w:rPr>
          <w:rFonts w:hint="eastAsia" w:ascii="仿宋_GB2312" w:eastAsia="仿宋_GB2312"/>
          <w:sz w:val="32"/>
          <w:szCs w:val="32"/>
          <w:lang w:eastAsia="zh-CN"/>
        </w:rPr>
        <w:t>城市化</w:t>
      </w:r>
      <w:r>
        <w:rPr>
          <w:rFonts w:hint="eastAsia" w:ascii="仿宋_GB2312" w:eastAsia="仿宋_GB2312"/>
          <w:sz w:val="32"/>
          <w:szCs w:val="32"/>
          <w:lang w:val="en-US" w:eastAsia="zh-CN"/>
        </w:rPr>
        <w:t>进程</w:t>
      </w:r>
      <w:r>
        <w:rPr>
          <w:rFonts w:hint="eastAsia" w:ascii="仿宋_GB2312" w:eastAsia="仿宋_GB2312"/>
          <w:sz w:val="32"/>
          <w:szCs w:val="32"/>
          <w:lang w:eastAsia="zh-CN"/>
        </w:rPr>
        <w:t>的推进，</w:t>
      </w:r>
      <w:r>
        <w:rPr>
          <w:rFonts w:hint="eastAsia" w:ascii="仿宋_GB2312" w:eastAsia="仿宋_GB2312"/>
          <w:sz w:val="32"/>
          <w:szCs w:val="32"/>
          <w:lang w:val="en-US" w:eastAsia="zh-CN"/>
        </w:rPr>
        <w:t>水库功能萎缩，</w:t>
      </w:r>
      <w:r>
        <w:rPr>
          <w:rFonts w:hint="eastAsia" w:ascii="仿宋_GB2312" w:eastAsia="仿宋_GB2312"/>
          <w:sz w:val="32"/>
          <w:szCs w:val="32"/>
        </w:rPr>
        <w:t>实际库容由原有的</w:t>
      </w:r>
      <w:r>
        <w:rPr>
          <w:rFonts w:hint="eastAsia" w:ascii="仿宋_GB2312" w:eastAsia="仿宋_GB2312"/>
          <w:sz w:val="32"/>
          <w:szCs w:val="32"/>
          <w:lang w:val="en-US" w:eastAsia="zh-CN"/>
        </w:rPr>
        <w:t>26.80</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缩小到现在</w:t>
      </w:r>
      <w:r>
        <w:rPr>
          <w:rFonts w:hint="eastAsia" w:ascii="仿宋_GB2312" w:eastAsia="仿宋_GB2312"/>
          <w:sz w:val="32"/>
          <w:szCs w:val="32"/>
          <w:lang w:val="en-US" w:eastAsia="zh-CN"/>
        </w:rPr>
        <w:t>8.76</w:t>
      </w:r>
      <w:r>
        <w:rPr>
          <w:rFonts w:hint="eastAsia" w:ascii="仿宋_GB2312" w:eastAsia="仿宋_GB2312"/>
          <w:sz w:val="32"/>
          <w:szCs w:val="32"/>
        </w:rPr>
        <w:t>万m</w:t>
      </w:r>
      <w:r>
        <w:rPr>
          <w:rFonts w:hint="eastAsia" w:ascii="宋体" w:hAnsi="宋体"/>
          <w:sz w:val="32"/>
          <w:szCs w:val="32"/>
        </w:rPr>
        <w:t>³</w:t>
      </w:r>
      <w:r>
        <w:rPr>
          <w:rFonts w:hint="eastAsia" w:ascii="仿宋_GB2312" w:eastAsia="仿宋_GB2312"/>
          <w:sz w:val="32"/>
          <w:szCs w:val="32"/>
        </w:rPr>
        <w:t>，不足10万m</w:t>
      </w:r>
      <w:r>
        <w:rPr>
          <w:rFonts w:hint="eastAsia" w:ascii="宋体" w:hAnsi="宋体"/>
          <w:sz w:val="32"/>
          <w:szCs w:val="32"/>
        </w:rPr>
        <w:t>³</w:t>
      </w:r>
      <w:r>
        <w:rPr>
          <w:rFonts w:hint="eastAsia" w:ascii="仿宋_GB2312" w:eastAsia="仿宋_GB2312"/>
          <w:sz w:val="32"/>
          <w:szCs w:val="32"/>
        </w:rPr>
        <w:t>。</w:t>
      </w:r>
      <w:r>
        <w:rPr>
          <w:rFonts w:hint="eastAsia" w:ascii="仿宋_GB2312" w:hAnsi="仿宋_GB2312" w:eastAsia="仿宋_GB2312" w:cs="仿宋_GB2312"/>
          <w:sz w:val="32"/>
          <w:szCs w:val="32"/>
        </w:rPr>
        <w:t>水库原有的灌溉功能完全丧失</w:t>
      </w:r>
      <w:r>
        <w:rPr>
          <w:rFonts w:hint="eastAsia" w:ascii="仿宋_GB2312" w:hAnsi="仿宋_GB2312" w:eastAsia="仿宋_GB2312" w:cs="仿宋_GB2312"/>
          <w:color w:val="000000"/>
          <w:kern w:val="0"/>
          <w:sz w:val="32"/>
          <w:szCs w:val="32"/>
          <w:lang w:val="en-US" w:eastAsia="zh-CN" w:bidi="ar"/>
        </w:rPr>
        <w:t>，入库洪水流量减小,主要为城市景观水体功能。因此，根据《水库降等与报废评估导则》（SL/T791-2019）和《水库降等与报废标准》（SL605-2013）相关规定，同意对</w:t>
      </w:r>
      <w:r>
        <w:rPr>
          <w:rFonts w:hint="eastAsia" w:ascii="仿宋_GB2312" w:hAnsi="仿宋_GB2312" w:cs="仿宋_GB2312"/>
          <w:color w:val="000000"/>
          <w:kern w:val="0"/>
          <w:sz w:val="32"/>
          <w:szCs w:val="32"/>
          <w:lang w:val="en-US" w:eastAsia="zh-CN" w:bidi="ar"/>
        </w:rPr>
        <w:t>大水</w:t>
      </w:r>
      <w:r>
        <w:rPr>
          <w:rFonts w:hint="eastAsia" w:ascii="仿宋_GB2312" w:hAnsi="仿宋_GB2312" w:eastAsia="仿宋_GB2312" w:cs="仿宋_GB2312"/>
          <w:color w:val="000000"/>
          <w:kern w:val="0"/>
          <w:sz w:val="32"/>
          <w:szCs w:val="32"/>
          <w:lang w:val="en-US" w:eastAsia="zh-CN" w:bidi="ar"/>
        </w:rPr>
        <w:t>塘</w:t>
      </w:r>
      <w:r>
        <w:rPr>
          <w:rFonts w:hint="eastAsia" w:ascii="仿宋_GB2312" w:hAnsi="仿宋_GB2312" w:cs="仿宋_GB2312"/>
          <w:color w:val="000000"/>
          <w:kern w:val="0"/>
          <w:sz w:val="32"/>
          <w:szCs w:val="32"/>
          <w:lang w:val="en-US" w:eastAsia="zh-CN" w:bidi="ar"/>
        </w:rPr>
        <w:t>坝</w:t>
      </w:r>
      <w:r>
        <w:rPr>
          <w:rFonts w:hint="eastAsia" w:ascii="仿宋_GB2312" w:hAnsi="仿宋_GB2312" w:eastAsia="仿宋_GB2312" w:cs="仿宋_GB2312"/>
          <w:color w:val="000000"/>
          <w:kern w:val="0"/>
          <w:sz w:val="32"/>
          <w:szCs w:val="32"/>
          <w:lang w:val="en-US" w:eastAsia="zh-CN" w:bidi="ar"/>
        </w:rPr>
        <w:t>水库进行降等处理。</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6.2022年底地震宏观信息联络员补助地震宏观异常收集、上报、协助防震减灾部门开展地震科普知识宣传、震后灾害调查和信息上报。</w:t>
      </w:r>
    </w:p>
    <w:p>
      <w:pPr>
        <w:pStyle w:val="2"/>
        <w:keepNext w:val="0"/>
        <w:keepLines w:val="0"/>
        <w:pageBreakBefore w:val="0"/>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7.2022年中央水利发展（农业水价综合改革）完成呈贡区农业水价改革松茂水库片区供水计量设施提升改造工程建设。</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8.小型水库安全运行省级补助资金项目建设内容为呈贡区五座小型水库维修养护费用以及2座小型水库雨水情测报和大坝安全监测设施。</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9.昆明市呈贡区2022年大中型水库移民后期扶持技能培训项目培训对象为呈贡区所辖斗南街道办等 10 个街道办事处、59 个行政村的移民后期扶持在册享受补贴的农村移民群众，人数为 360 人。主要培训内容为农业技能和就业实用职业技能培训。项目实施受益移民人口 360 人。</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10.昆明市呈贡区2022年度大中型水库移民补助资金发放呈贡区2022年度大中型水库移民2223人补助资金。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11.2018年度大中型水库移民后期扶持专项资金发放呈贡区2018年度大中型水库移民2223人补助资金。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12.2019年度大中型水库移民后期扶持专项资金发放呈贡区2019年度大中型水库移民2223人补助资金。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13.2020年度大中型水库移民后期扶持专项资金发放呈贡区2020年度大中型水库移民2223人补助资金。</w:t>
      </w:r>
    </w:p>
    <w:p>
      <w:pPr>
        <w:pStyle w:val="2"/>
        <w:keepNext w:val="0"/>
        <w:keepLines w:val="0"/>
        <w:pageBreakBefore w:val="0"/>
        <w:numPr>
          <w:ilvl w:val="0"/>
          <w:numId w:val="0"/>
        </w:numPr>
        <w:kinsoku/>
        <w:wordWrap/>
        <w:overflowPunct/>
        <w:bidi w:val="0"/>
        <w:snapToGrid/>
        <w:spacing w:line="560" w:lineRule="exact"/>
        <w:ind w:firstLine="594" w:firstLineChars="20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14.2021年度大中型水库移民后期扶持专项资金发放呈贡区2021年度大中型水库移民2223人补助资金。</w:t>
      </w:r>
    </w:p>
    <w:p>
      <w:pPr>
        <w:keepNext w:val="0"/>
        <w:keepLines w:val="0"/>
        <w:pageBreakBefore w:val="0"/>
        <w:numPr>
          <w:ilvl w:val="0"/>
          <w:numId w:val="3"/>
        </w:numPr>
        <w:kinsoku/>
        <w:wordWrap/>
        <w:overflowPunct/>
        <w:topLinePunct/>
        <w:bidi w:val="0"/>
        <w:snapToGrid/>
        <w:spacing w:line="560" w:lineRule="exact"/>
        <w:ind w:left="592" w:leftChars="0"/>
        <w:jc w:val="both"/>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昆明市2020年第二批省级库区基金维稳工作经费专项用于库区和移民安置区社会维稳工作。</w:t>
      </w:r>
    </w:p>
    <w:p>
      <w:pPr>
        <w:keepNext w:val="0"/>
        <w:keepLines w:val="0"/>
        <w:pageBreakBefore w:val="0"/>
        <w:numPr>
          <w:ilvl w:val="0"/>
          <w:numId w:val="0"/>
        </w:numPr>
        <w:kinsoku/>
        <w:wordWrap/>
        <w:overflowPunct/>
        <w:topLinePunct/>
        <w:bidi w:val="0"/>
        <w:snapToGrid/>
        <w:spacing w:line="560" w:lineRule="exact"/>
        <w:ind w:firstLine="297" w:firstLineChars="100"/>
        <w:jc w:val="both"/>
        <w:textAlignment w:val="auto"/>
        <w:rPr>
          <w:rFonts w:hint="eastAsia" w:ascii="黑体" w:eastAsia="黑体"/>
          <w:szCs w:val="32"/>
        </w:rPr>
      </w:pPr>
      <w:r>
        <w:rPr>
          <w:rFonts w:hint="eastAsia" w:ascii="黑体" w:eastAsia="黑体"/>
          <w:szCs w:val="32"/>
          <w:lang w:val="en-US" w:eastAsia="zh-CN"/>
        </w:rPr>
        <w:t>五、</w:t>
      </w:r>
      <w:r>
        <w:rPr>
          <w:rFonts w:hint="eastAsia" w:ascii="黑体" w:eastAsia="黑体"/>
          <w:szCs w:val="32"/>
        </w:rPr>
        <w:t>存在的问题</w:t>
      </w:r>
    </w:p>
    <w:p>
      <w:pPr>
        <w:keepNext w:val="0"/>
        <w:keepLines w:val="0"/>
        <w:pageBreakBefore w:val="0"/>
        <w:kinsoku/>
        <w:wordWrap/>
        <w:overflowPunct/>
        <w:bidi w:val="0"/>
        <w:snapToGrid/>
        <w:spacing w:line="560" w:lineRule="exact"/>
        <w:ind w:firstLine="594" w:firstLineChars="200"/>
        <w:jc w:val="both"/>
        <w:textAlignment w:val="auto"/>
        <w:rPr>
          <w:rFonts w:hint="eastAsia"/>
          <w:color w:val="auto"/>
          <w:lang w:val="en-US" w:eastAsia="zh-CN"/>
        </w:rPr>
      </w:pPr>
      <w:r>
        <w:rPr>
          <w:rFonts w:hint="eastAsia"/>
          <w:color w:val="auto"/>
          <w:lang w:val="en-US" w:eastAsia="zh-CN"/>
        </w:rPr>
        <w:t>无</w:t>
      </w:r>
    </w:p>
    <w:p>
      <w:pPr>
        <w:keepNext w:val="0"/>
        <w:keepLines w:val="0"/>
        <w:pageBreakBefore w:val="0"/>
        <w:kinsoku/>
        <w:wordWrap/>
        <w:overflowPunct/>
        <w:topLinePunct/>
        <w:bidi w:val="0"/>
        <w:snapToGrid/>
        <w:spacing w:line="560" w:lineRule="exact"/>
        <w:ind w:firstLine="594" w:firstLineChars="200"/>
        <w:jc w:val="both"/>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kinsoku/>
        <w:wordWrap/>
        <w:overflowPunct/>
        <w:topLinePunct/>
        <w:bidi w:val="0"/>
        <w:snapToGrid/>
        <w:spacing w:line="560" w:lineRule="exact"/>
        <w:ind w:firstLine="594" w:firstLineChars="200"/>
        <w:jc w:val="both"/>
        <w:textAlignment w:val="auto"/>
        <w:rPr>
          <w:rFonts w:hint="eastAsia" w:ascii="仿宋_GB2312"/>
          <w:color w:val="auto"/>
          <w:szCs w:val="32"/>
        </w:rPr>
      </w:pPr>
      <w:r>
        <w:rPr>
          <w:rFonts w:hint="eastAsia" w:ascii="仿宋_GB2312"/>
          <w:color w:val="auto"/>
          <w:szCs w:val="32"/>
        </w:rPr>
        <w:t>（一）后续工作计划。</w:t>
      </w:r>
    </w:p>
    <w:p>
      <w:pPr>
        <w:keepNext w:val="0"/>
        <w:keepLines w:val="0"/>
        <w:pageBreakBefore w:val="0"/>
        <w:kinsoku/>
        <w:wordWrap/>
        <w:overflowPunct/>
        <w:topLinePunct/>
        <w:bidi w:val="0"/>
        <w:snapToGrid/>
        <w:spacing w:line="560" w:lineRule="exact"/>
        <w:ind w:firstLine="594" w:firstLineChars="200"/>
        <w:jc w:val="both"/>
        <w:textAlignment w:val="auto"/>
        <w:rPr>
          <w:rFonts w:hint="eastAsia" w:ascii="仿宋_GB2312" w:eastAsia="仿宋_GB2312"/>
          <w:color w:val="auto"/>
          <w:szCs w:val="32"/>
          <w:lang w:val="en-US" w:eastAsia="zh-CN"/>
        </w:rPr>
      </w:pPr>
      <w:r>
        <w:rPr>
          <w:rFonts w:hint="eastAsia" w:ascii="仿宋_GB2312"/>
          <w:color w:val="auto"/>
          <w:szCs w:val="32"/>
          <w:lang w:val="en-US" w:eastAsia="zh-CN"/>
        </w:rPr>
        <w:t>无</w:t>
      </w:r>
    </w:p>
    <w:p>
      <w:pPr>
        <w:keepNext w:val="0"/>
        <w:keepLines w:val="0"/>
        <w:pageBreakBefore w:val="0"/>
        <w:kinsoku/>
        <w:wordWrap/>
        <w:overflowPunct/>
        <w:topLinePunct/>
        <w:bidi w:val="0"/>
        <w:snapToGrid/>
        <w:spacing w:line="560" w:lineRule="exact"/>
        <w:ind w:firstLine="594" w:firstLineChars="200"/>
        <w:jc w:val="both"/>
        <w:textAlignment w:val="auto"/>
        <w:rPr>
          <w:rFonts w:ascii="仿宋_GB2312"/>
          <w:color w:val="auto"/>
          <w:szCs w:val="32"/>
        </w:rPr>
      </w:pPr>
      <w:r>
        <w:rPr>
          <w:rFonts w:hint="eastAsia" w:ascii="仿宋_GB2312"/>
          <w:color w:val="auto"/>
          <w:szCs w:val="32"/>
        </w:rPr>
        <w:t>（二）主要经验做法、改进措施和有关建议等。</w:t>
      </w:r>
    </w:p>
    <w:p>
      <w:pPr>
        <w:keepNext w:val="0"/>
        <w:keepLines w:val="0"/>
        <w:pageBreakBefore w:val="0"/>
        <w:kinsoku/>
        <w:wordWrap/>
        <w:overflowPunct/>
        <w:bidi w:val="0"/>
        <w:snapToGrid/>
        <w:spacing w:line="560" w:lineRule="exact"/>
        <w:ind w:firstLine="594" w:firstLineChars="200"/>
        <w:jc w:val="both"/>
        <w:textAlignment w:val="auto"/>
        <w:rPr>
          <w:rFonts w:hint="eastAsia" w:eastAsia="仿宋_GB2312"/>
          <w:color w:val="auto"/>
          <w:lang w:eastAsia="zh-CN"/>
        </w:rPr>
      </w:pPr>
      <w:r>
        <w:rPr>
          <w:rFonts w:hint="eastAsia"/>
          <w:color w:val="auto"/>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A00002EF" w:usb1="420020E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CF116B"/>
    <w:multiLevelType w:val="singleLevel"/>
    <w:tmpl w:val="F1CF116B"/>
    <w:lvl w:ilvl="0" w:tentative="0">
      <w:start w:val="3"/>
      <w:numFmt w:val="chineseCounting"/>
      <w:suff w:val="nothing"/>
      <w:lvlText w:val="%1、"/>
      <w:lvlJc w:val="left"/>
      <w:pPr>
        <w:ind w:left="-2"/>
      </w:pPr>
      <w:rPr>
        <w:rFonts w:hint="eastAsia"/>
      </w:rPr>
    </w:lvl>
  </w:abstractNum>
  <w:abstractNum w:abstractNumId="1">
    <w:nsid w:val="30BBA4FA"/>
    <w:multiLevelType w:val="singleLevel"/>
    <w:tmpl w:val="30BBA4FA"/>
    <w:lvl w:ilvl="0" w:tentative="0">
      <w:start w:val="1"/>
      <w:numFmt w:val="decimal"/>
      <w:lvlText w:val="(%1)"/>
      <w:lvlJc w:val="left"/>
      <w:pPr>
        <w:ind w:left="425" w:hanging="425"/>
      </w:pPr>
      <w:rPr>
        <w:rFonts w:hint="default"/>
      </w:rPr>
    </w:lvl>
  </w:abstractNum>
  <w:abstractNum w:abstractNumId="2">
    <w:nsid w:val="64253B94"/>
    <w:multiLevelType w:val="singleLevel"/>
    <w:tmpl w:val="64253B94"/>
    <w:lvl w:ilvl="0" w:tentative="0">
      <w:start w:val="1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WY3NDZlNGYyOGVkMzFkNDA0MGMxYjFiZjJjNDgifQ=="/>
  </w:docVars>
  <w:rsids>
    <w:rsidRoot w:val="00000000"/>
    <w:rsid w:val="04E2157A"/>
    <w:rsid w:val="05AE36CA"/>
    <w:rsid w:val="05D1582E"/>
    <w:rsid w:val="0BDE7ACF"/>
    <w:rsid w:val="0C59292F"/>
    <w:rsid w:val="0DB73168"/>
    <w:rsid w:val="0DC31BE9"/>
    <w:rsid w:val="11AE1F18"/>
    <w:rsid w:val="187268F2"/>
    <w:rsid w:val="1C8036FB"/>
    <w:rsid w:val="22115AEB"/>
    <w:rsid w:val="278A3465"/>
    <w:rsid w:val="2854578A"/>
    <w:rsid w:val="32491A47"/>
    <w:rsid w:val="361A593A"/>
    <w:rsid w:val="378A5996"/>
    <w:rsid w:val="399D7365"/>
    <w:rsid w:val="4670622B"/>
    <w:rsid w:val="489F7137"/>
    <w:rsid w:val="4E083046"/>
    <w:rsid w:val="4E7E1252"/>
    <w:rsid w:val="4F441C02"/>
    <w:rsid w:val="5721105B"/>
    <w:rsid w:val="58957041"/>
    <w:rsid w:val="595A56F3"/>
    <w:rsid w:val="5A3C6978"/>
    <w:rsid w:val="5A3D2599"/>
    <w:rsid w:val="5E6B321A"/>
    <w:rsid w:val="5F253FC0"/>
    <w:rsid w:val="5FD23CD1"/>
    <w:rsid w:val="62715708"/>
    <w:rsid w:val="67600811"/>
    <w:rsid w:val="6B683720"/>
    <w:rsid w:val="6E7C0452"/>
    <w:rsid w:val="70A1184A"/>
    <w:rsid w:val="73FE1199"/>
    <w:rsid w:val="75222A83"/>
    <w:rsid w:val="7A71079C"/>
    <w:rsid w:val="7A9D00D2"/>
    <w:rsid w:val="7ABD57E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Indent"/>
    <w:basedOn w:val="1"/>
    <w:qFormat/>
    <w:uiPriority w:val="99"/>
    <w:pPr>
      <w:spacing w:line="360" w:lineRule="auto"/>
      <w:ind w:firstLine="480" w:firstLineChars="200"/>
    </w:pPr>
    <w:rPr>
      <w:sz w:val="24"/>
      <w:szCs w:val="24"/>
    </w:rPr>
  </w:style>
  <w:style w:type="paragraph" w:styleId="4">
    <w:name w:val="Body Text First Indent 2"/>
    <w:basedOn w:val="3"/>
    <w:qFormat/>
    <w:uiPriority w:val="0"/>
    <w:pPr>
      <w:spacing w:after="120"/>
      <w:ind w:left="420" w:leftChars="200" w:firstLine="200"/>
    </w:pPr>
    <w:rPr>
      <w:rFonts w:ascii="宋体" w:hAnsi="宋体" w:eastAsia="Times New Roman"/>
      <w:spacing w:val="2"/>
    </w:rPr>
  </w:style>
  <w:style w:type="paragraph" w:styleId="5">
    <w:name w:val="Normal (Web)"/>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5886</Words>
  <Characters>6695</Characters>
  <Lines>0</Lines>
  <Paragraphs>0</Paragraphs>
  <ScaleCrop>false</ScaleCrop>
  <LinksUpToDate>false</LinksUpToDate>
  <CharactersWithSpaces>6754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Aiyucui</cp:lastModifiedBy>
  <dcterms:modified xsi:type="dcterms:W3CDTF">2023-03-31T02:51:07Z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5AA7B095413C45748F59067D01B8EA4B</vt:lpwstr>
  </property>
</Properties>
</file>