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spacing w:line="600" w:lineRule="exact"/>
        <w:jc w:val="center"/>
        <w:rPr>
          <w:rFonts w:hint="eastAsia" w:ascii="方正小标宋_GBK" w:eastAsia="方正小标宋_GBK"/>
          <w:sz w:val="36"/>
          <w:szCs w:val="36"/>
        </w:rPr>
      </w:pPr>
      <w:r>
        <w:rPr>
          <w:rFonts w:hint="eastAsia" w:ascii="方正小标宋_GBK" w:eastAsia="方正小标宋_GBK"/>
          <w:sz w:val="36"/>
          <w:szCs w:val="36"/>
        </w:rPr>
        <w:t>水资源科2022年度区级财政预算</w:t>
      </w:r>
    </w:p>
    <w:p>
      <w:pPr>
        <w:spacing w:line="600" w:lineRule="exact"/>
        <w:jc w:val="center"/>
        <w:rPr>
          <w:rFonts w:hint="eastAsia" w:ascii="方正小标宋_GBK" w:eastAsia="方正小标宋_GBK"/>
          <w:sz w:val="36"/>
          <w:szCs w:val="36"/>
        </w:rPr>
      </w:pPr>
      <w:r>
        <w:rPr>
          <w:rFonts w:hint="eastAsia" w:ascii="方正小标宋_GBK" w:eastAsia="方正小标宋_GBK"/>
          <w:sz w:val="36"/>
          <w:szCs w:val="36"/>
        </w:rPr>
        <w:t>水资源管理和农村饮水工程管养类资金</w:t>
      </w:r>
    </w:p>
    <w:p>
      <w:pPr>
        <w:spacing w:line="600" w:lineRule="exact"/>
        <w:jc w:val="center"/>
        <w:rPr>
          <w:rFonts w:ascii="方正小标宋_GBK" w:eastAsia="方正小标宋_GBK"/>
          <w:sz w:val="36"/>
          <w:szCs w:val="36"/>
        </w:rPr>
      </w:pPr>
      <w:r>
        <w:rPr>
          <w:rFonts w:hint="eastAsia" w:ascii="方正小标宋_GBK" w:eastAsia="方正小标宋_GBK"/>
          <w:sz w:val="36"/>
          <w:szCs w:val="36"/>
        </w:rPr>
        <w:t>项目支出绩效报告</w:t>
      </w:r>
      <w:r>
        <w:rPr>
          <w:rFonts w:hint="eastAsia" w:ascii="方正小标宋_GBK" w:eastAsia="方正小标宋_GBK"/>
          <w:sz w:val="36"/>
          <w:szCs w:val="36"/>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仿宋_GB2312"/>
          <w:szCs w:val="32"/>
        </w:rPr>
      </w:pPr>
      <w:r>
        <w:rPr>
          <w:rFonts w:hint="eastAsia" w:ascii="仿宋_GB2312"/>
          <w:szCs w:val="32"/>
        </w:rPr>
        <w:t>（一）项目基本情况</w:t>
      </w:r>
    </w:p>
    <w:p>
      <w:pPr>
        <w:topLinePunct/>
        <w:ind w:firstLine="594" w:firstLineChars="200"/>
        <w:rPr>
          <w:rFonts w:hint="eastAsia" w:ascii="仿宋_GB2312"/>
          <w:szCs w:val="32"/>
        </w:rPr>
      </w:pPr>
      <w:r>
        <w:rPr>
          <w:rFonts w:hint="eastAsia" w:ascii="仿宋_GB2312"/>
          <w:szCs w:val="32"/>
        </w:rPr>
        <w:t>2022年水资源管理科项目6个，分别为最严格水资源管理工作经费、农村饮水工程维修管护经费，小古城社区居委会自来水水费补助资金, 高新区（马金铺）片区社会事务（水务类农村饮水工程）专项经费，2109昆明阳宗海风景名胜区管委会生态和水资源保护局提交2022年政协委员专项办理经费，2022年中央水利发展（水资源管理）专项资金，2022年中央水利发展（农村饮水安全工程维修养护）专项资金。</w:t>
      </w:r>
    </w:p>
    <w:p>
      <w:pPr>
        <w:numPr>
          <w:ilvl w:val="0"/>
          <w:numId w:val="1"/>
        </w:numPr>
        <w:topLinePunct/>
        <w:ind w:firstLine="594" w:firstLineChars="200"/>
        <w:rPr>
          <w:rFonts w:hint="eastAsia" w:ascii="仿宋_GB2312"/>
          <w:szCs w:val="32"/>
        </w:rPr>
      </w:pPr>
      <w:r>
        <w:rPr>
          <w:rFonts w:hint="eastAsia" w:ascii="仿宋_GB2312"/>
          <w:szCs w:val="32"/>
        </w:rPr>
        <w:t>绩效目标设定及指标完成情况。</w:t>
      </w:r>
    </w:p>
    <w:p>
      <w:pPr>
        <w:spacing w:line="600" w:lineRule="exact"/>
        <w:ind w:firstLine="594" w:firstLineChars="200"/>
        <w:rPr>
          <w:rFonts w:hint="default" w:ascii="仿宋_GB2312" w:hAnsi="宋体" w:eastAsia="仿宋_GB2312"/>
          <w:color w:val="auto"/>
          <w:szCs w:val="32"/>
          <w:highlight w:val="yellow"/>
          <w:shd w:val="clear" w:color="auto" w:fill="FFFFFF"/>
          <w:lang w:val="en-US" w:eastAsia="zh-CN"/>
        </w:rPr>
      </w:pPr>
      <w:r>
        <w:rPr>
          <w:rFonts w:hint="eastAsia" w:ascii="仿宋_GB2312" w:hAnsi="宋体"/>
          <w:color w:val="auto"/>
          <w:szCs w:val="32"/>
          <w:shd w:val="clear" w:color="auto" w:fill="FFFFFF"/>
        </w:rPr>
        <w:t>完成最严格水资源管理工作年度目标任务</w:t>
      </w:r>
      <w:r>
        <w:rPr>
          <w:rFonts w:hint="eastAsia" w:ascii="仿宋_GB2312" w:hAnsi="宋体"/>
          <w:color w:val="auto"/>
          <w:szCs w:val="32"/>
          <w:shd w:val="clear" w:color="auto" w:fill="FFFFFF"/>
          <w:lang w:val="en-US" w:eastAsia="zh-CN"/>
        </w:rPr>
        <w:t>及</w:t>
      </w:r>
      <w:r>
        <w:rPr>
          <w:rFonts w:hint="eastAsia" w:ascii="仿宋_GB2312" w:hAnsi="宋体"/>
          <w:color w:val="auto"/>
          <w:szCs w:val="32"/>
          <w:shd w:val="clear" w:color="auto" w:fill="FFFFFF"/>
        </w:rPr>
        <w:t>最严格水资源管理制度年度考核</w:t>
      </w:r>
      <w:r>
        <w:rPr>
          <w:rFonts w:hint="eastAsia" w:ascii="仿宋_GB2312" w:hAnsi="宋体"/>
          <w:color w:val="auto"/>
          <w:szCs w:val="32"/>
          <w:shd w:val="clear" w:color="auto" w:fill="FFFFFF"/>
          <w:lang w:eastAsia="zh-CN"/>
        </w:rPr>
        <w:t>；</w:t>
      </w:r>
      <w:r>
        <w:rPr>
          <w:rFonts w:hint="eastAsia" w:ascii="仿宋_GB2312" w:hAnsi="宋体" w:cs="Times New Roman"/>
          <w:color w:val="auto"/>
          <w:szCs w:val="32"/>
          <w:shd w:val="clear" w:color="auto" w:fill="FFFFFF"/>
          <w:lang w:val="en-US" w:eastAsia="zh-CN"/>
        </w:rPr>
        <w:t>拨转专项资金</w:t>
      </w:r>
      <w:r>
        <w:rPr>
          <w:rFonts w:hint="eastAsia" w:ascii="仿宋_GB2312" w:hAnsi="Times New Roman" w:cs="Times New Roman"/>
          <w:color w:val="auto"/>
          <w:szCs w:val="32"/>
          <w:shd w:val="clear" w:color="auto" w:fill="FFFFFF"/>
          <w:lang w:val="en-US" w:eastAsia="zh-CN"/>
        </w:rPr>
        <w:t>及督促指导街道社区完成2022年度农村饮水安全工程维修养护工作；完成呈贡区8个社区</w:t>
      </w:r>
      <w:r>
        <w:rPr>
          <w:rFonts w:hint="eastAsia" w:ascii="仿宋_GB2312" w:hAnsi="Times New Roman" w:cs="Times New Roman"/>
          <w:color w:val="auto"/>
          <w:szCs w:val="32"/>
          <w:shd w:val="clear" w:color="auto" w:fill="FFFFFF"/>
        </w:rPr>
        <w:t>供水设施水池、水塔清洗、消毒</w:t>
      </w:r>
      <w:r>
        <w:rPr>
          <w:rFonts w:hint="eastAsia" w:ascii="仿宋_GB2312" w:hAnsi="Times New Roman" w:cs="Times New Roman"/>
          <w:color w:val="auto"/>
          <w:szCs w:val="32"/>
          <w:shd w:val="clear" w:color="auto" w:fill="FFFFFF"/>
          <w:lang w:val="en-US" w:eastAsia="zh-CN"/>
        </w:rPr>
        <w:t>工作</w:t>
      </w:r>
      <w:r>
        <w:rPr>
          <w:rFonts w:hint="eastAsia" w:ascii="仿宋_GB2312" w:hAnsi="Times New Roman" w:cs="Times New Roman"/>
          <w:color w:val="auto"/>
          <w:szCs w:val="32"/>
          <w:shd w:val="clear" w:color="auto" w:fill="FFFFFF"/>
          <w:lang w:eastAsia="zh-CN"/>
        </w:rPr>
        <w:t>。</w:t>
      </w:r>
      <w:r>
        <w:rPr>
          <w:rFonts w:hint="eastAsia" w:ascii="仿宋_GB2312" w:hAnsi="Times New Roman" w:cs="Times New Roman"/>
          <w:color w:val="auto"/>
          <w:szCs w:val="32"/>
          <w:shd w:val="clear" w:color="auto" w:fill="FFFFFF"/>
          <w:lang w:val="en-US" w:eastAsia="zh-CN"/>
        </w:rPr>
        <w:t>其他工作。</w:t>
      </w:r>
    </w:p>
    <w:p>
      <w:pPr>
        <w:numPr>
          <w:ilvl w:val="0"/>
          <w:numId w:val="0"/>
        </w:numPr>
        <w:spacing w:line="600" w:lineRule="exact"/>
        <w:ind w:firstLine="594" w:firstLineChars="200"/>
        <w:outlineLvl w:val="0"/>
        <w:rPr>
          <w:rFonts w:hint="eastAsia" w:ascii="仿宋_GB2312"/>
          <w:szCs w:val="32"/>
        </w:rPr>
      </w:pPr>
      <w:r>
        <w:rPr>
          <w:rFonts w:hint="eastAsia" w:ascii="仿宋_GB2312" w:hAnsi="宋体" w:cs="Times New Roman"/>
          <w:color w:val="auto"/>
          <w:szCs w:val="32"/>
        </w:rPr>
        <w:t>已按预期目标完成该工作，落实最严格水资源管理工作各项控制优于市级下达指标，按计划完成了辖区农村集中式饮水设施水池、水塔清洗消毒工作，提高水质达标率保障农村居民饮水安全；完成对小古城水费补助</w:t>
      </w:r>
      <w:r>
        <w:rPr>
          <w:rFonts w:hint="eastAsia" w:ascii="仿宋_GB2312" w:hAnsi="宋体" w:cs="Times New Roman"/>
          <w:color w:val="auto"/>
          <w:szCs w:val="32"/>
          <w:lang w:eastAsia="zh-CN"/>
        </w:rPr>
        <w:t>；</w:t>
      </w:r>
      <w:r>
        <w:rPr>
          <w:rFonts w:hint="eastAsia" w:ascii="仿宋_GB2312" w:hAnsi="宋体" w:cs="Times New Roman"/>
          <w:color w:val="auto"/>
          <w:szCs w:val="32"/>
          <w:lang w:val="en-US" w:eastAsia="zh-CN"/>
        </w:rPr>
        <w:t>确保马金铺街道农村自备饮水安全工程正常运行，提高农村居民供水安全。这些工作</w:t>
      </w:r>
      <w:r>
        <w:rPr>
          <w:rFonts w:hint="eastAsia" w:ascii="仿宋_GB2312" w:hAnsi="宋体" w:cs="Times New Roman"/>
          <w:color w:val="auto"/>
          <w:szCs w:val="32"/>
        </w:rPr>
        <w:t>取得社会效益较好。</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（一）项目资金情况分析。</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1.项目资金到位情况分析。</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eastAsia="仿宋_GB2312" w:cs="仿宋_GB2312"/>
          <w:szCs w:val="32"/>
        </w:rPr>
      </w:pPr>
      <w:r>
        <w:rPr>
          <w:rFonts w:hint="eastAsia" w:ascii="仿宋_GB2312" w:hAnsi="仿宋_GB2312" w:cs="仿宋_GB2312"/>
          <w:bCs/>
          <w:color w:val="auto"/>
          <w:sz w:val="32"/>
          <w:szCs w:val="32"/>
          <w:lang w:val="en-US" w:eastAsia="zh-CN"/>
        </w:rPr>
        <w:t>2022</w:t>
      </w:r>
      <w:r>
        <w:rPr>
          <w:rFonts w:hint="eastAsia" w:ascii="仿宋_GB2312" w:hAnsi="仿宋_GB2312" w:eastAsia="仿宋_GB2312" w:cs="仿宋_GB2312"/>
          <w:bCs/>
          <w:color w:val="auto"/>
          <w:sz w:val="32"/>
          <w:szCs w:val="32"/>
        </w:rPr>
        <w:t>年度呈贡区</w:t>
      </w:r>
      <w:r>
        <w:rPr>
          <w:rFonts w:hint="eastAsia" w:ascii="仿宋_GB2312" w:hAnsi="仿宋_GB2312" w:eastAsia="仿宋_GB2312" w:cs="仿宋_GB2312"/>
          <w:bCs/>
          <w:color w:val="auto"/>
          <w:sz w:val="32"/>
          <w:szCs w:val="32"/>
          <w:lang w:eastAsia="zh-CN"/>
        </w:rPr>
        <w:t>水务局</w:t>
      </w:r>
      <w:r>
        <w:rPr>
          <w:rFonts w:hint="eastAsia" w:ascii="仿宋_GB2312" w:hAnsi="仿宋_GB2312" w:cs="仿宋_GB2312"/>
          <w:bCs/>
          <w:color w:val="auto"/>
          <w:sz w:val="32"/>
          <w:szCs w:val="32"/>
          <w:lang w:val="en-US" w:eastAsia="zh-CN"/>
        </w:rPr>
        <w:t>水资源管理科</w:t>
      </w:r>
      <w:r>
        <w:rPr>
          <w:rFonts w:hint="eastAsia" w:ascii="仿宋_GB2312" w:hAnsi="仿宋_GB2312" w:eastAsia="仿宋_GB2312" w:cs="仿宋_GB2312"/>
          <w:bCs/>
          <w:color w:val="auto"/>
          <w:sz w:val="32"/>
          <w:szCs w:val="32"/>
        </w:rPr>
        <w:t>申报并安排使用</w:t>
      </w:r>
      <w:r>
        <w:rPr>
          <w:rFonts w:hint="eastAsia" w:ascii="仿宋_GB2312" w:hAnsi="仿宋_GB2312" w:eastAsia="仿宋_GB2312" w:cs="仿宋_GB2312"/>
          <w:bCs/>
          <w:color w:val="auto"/>
          <w:sz w:val="32"/>
          <w:szCs w:val="32"/>
          <w:lang w:eastAsia="zh-CN"/>
        </w:rPr>
        <w:t>资金共计91万元，分别为最严格水资源管理工作经费、农村饮水工程维修管护经费5万元，小古城社区居委会自来水水费补助资金20万元, 高新区（马金铺）片区社会事务（水务类农村饮水工程）专项经费20万，2109昆明阳宗海风景名胜区管委会生态和水资源保护局提交2022年政协委员专项办理经费10万元，2022年中央水利发展（水资源管理）专项资金10万元，2022年中央水利发展（农村饮水安全工程维修养护）专项资金26万元</w:t>
      </w:r>
      <w:r>
        <w:rPr>
          <w:rFonts w:hint="eastAsia" w:ascii="仿宋_GB2312" w:hAnsi="仿宋_GB2312" w:eastAsia="仿宋_GB2312" w:cs="仿宋_GB2312"/>
          <w:bCs/>
          <w:color w:val="auto"/>
          <w:sz w:val="32"/>
          <w:szCs w:val="32"/>
          <w:lang w:val="en-US" w:eastAsia="zh-CN"/>
        </w:rPr>
        <w:t>；资金到位及时并全部到位。</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2.项目资金使用情况分析。</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高新区（马金铺）片区社会事务（水务类-农村饮水安全）专项经费20万元。经局务会议和党组会议研究同意后拨转街道，以保障马金铺街道辖区内农村自备饮水安全工程运行正常。</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小古城社区居委会自来水水费补助资金20万元。经局务会议和党组会议研究同意后拨转街道，拨转到斗南街道再拨转小古城社区居委会。主要用于小古城社区自来水水费补助及自来水输配水管材、配件、公共水表的日常维修、维护和更换。</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2109昆明阳宗海风景名胜区管委会生态和水资源保护局提交2022年政协委员专项办理经费10万元，为2022年追加预算资金，已拨转昆明阳宗海风景名胜区管委会生态和水资源保护局，用于解决七甸街道办事处松茂社区大村人畜用水。（政协提案第41167号）。</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最严格水资源管理工作经费、农村饮水工程维修管护经费5万元。2022年度开展完成水池清洗消毒工作已。初期使用80元，其余49920元因区级财政资金紧缺等原因被收回。</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2022年中央水利发展（水资源管理）专项资金10万元。为《昆明市财政局 昆明市水务局关于提前下达2022年中央水利发展资金预算的通知》（昆财农〔2021〕208号）下达给予呈贡区水资源管理资金10万元。已用于呈贡区重点地下水取用水户远程在线监控计量设施安装项目。</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2022年中央水利发展（农村饮水安全工程维修养护）专项资金26万元。同为昆财农〔2021〕208号文件下达的中央资金。经局务会议和党组会议研究同意后拨转涉及街道，再拨付段家营、刘家营、郎家营赵家山村、回回营、松花、殷联小王家营村6个社区居委会村小组。资金主要用于农村自备水源饮水安全工程维修。</w:t>
      </w:r>
    </w:p>
    <w:p>
      <w:pPr>
        <w:numPr>
          <w:ilvl w:val="0"/>
          <w:numId w:val="0"/>
        </w:numPr>
        <w:ind w:firstLine="594"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项目资金管理情况分析。</w:t>
      </w:r>
    </w:p>
    <w:p>
      <w:pPr>
        <w:numPr>
          <w:ilvl w:val="0"/>
          <w:numId w:val="0"/>
        </w:numPr>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color w:val="auto"/>
          <w:sz w:val="32"/>
          <w:szCs w:val="32"/>
        </w:rPr>
        <w:t>按资金的来源、性质、类别，严格以各类资金的使用</w:t>
      </w:r>
      <w:r>
        <w:rPr>
          <w:rFonts w:hint="eastAsia" w:ascii="仿宋_GB2312" w:hAnsi="仿宋_GB2312" w:eastAsia="仿宋_GB2312" w:cs="仿宋_GB2312"/>
          <w:color w:val="auto"/>
          <w:sz w:val="32"/>
          <w:szCs w:val="32"/>
          <w:lang w:eastAsia="zh-CN"/>
        </w:rPr>
        <w:t>内容</w:t>
      </w:r>
      <w:r>
        <w:rPr>
          <w:rFonts w:hint="eastAsia" w:ascii="仿宋_GB2312" w:hAnsi="仿宋_GB2312" w:eastAsia="仿宋_GB2312" w:cs="仿宋_GB2312"/>
          <w:color w:val="auto"/>
          <w:sz w:val="32"/>
          <w:szCs w:val="32"/>
        </w:rPr>
        <w:t>及规定为依据，专款专用，提高资金的使用效益。在财政支农资金的使用和管理上，</w:t>
      </w:r>
      <w:r>
        <w:rPr>
          <w:rFonts w:hint="eastAsia" w:ascii="仿宋_GB2312" w:hAnsi="仿宋_GB2312" w:eastAsia="仿宋_GB2312" w:cs="仿宋_GB2312"/>
          <w:color w:val="auto"/>
          <w:sz w:val="32"/>
          <w:szCs w:val="32"/>
          <w:lang w:eastAsia="zh-CN"/>
        </w:rPr>
        <w:t>主管局</w:t>
      </w:r>
      <w:r>
        <w:rPr>
          <w:rFonts w:hint="eastAsia" w:ascii="仿宋_GB2312" w:hAnsi="仿宋_GB2312" w:eastAsia="仿宋_GB2312" w:cs="仿宋_GB2312"/>
          <w:color w:val="auto"/>
          <w:sz w:val="32"/>
          <w:szCs w:val="32"/>
        </w:rPr>
        <w:t>建立健全了财务管理制度，严格遵守《会计法》及相关的财经制度；严格遵循审批程序使用资金，坚持按进度和质量拨付。</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按照资金安排使用的相关要求，水资源科根据实际情况，申报使用2022年度的资金，在年初拨付相应街道开展相应农村饮水安全工程维修养护工作。</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呈贡区重点地下水取用水户远程在线监控计量设施安装项目经政府购买服务计划发布及比选程序选购第三方实施，主要建设内容为3家地下水取水量在线远程计量设施监测系统建设。2022年6月29日开工至7月4日完工，支付资金97000元。剩余3000元为质保金，结转至2023年支出。</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rPr>
          <w:rFonts w:hint="eastAsia" w:ascii="仿宋_GB2312"/>
          <w:szCs w:val="32"/>
        </w:rPr>
      </w:pPr>
      <w:r>
        <w:rPr>
          <w:rFonts w:hint="eastAsia" w:ascii="仿宋_GB2312"/>
          <w:szCs w:val="32"/>
        </w:rPr>
        <w:t>1.项目经济性分析。</w:t>
      </w:r>
    </w:p>
    <w:p>
      <w:pPr>
        <w:topLinePunct/>
        <w:ind w:firstLine="594" w:firstLineChars="200"/>
        <w:rPr>
          <w:rFonts w:hint="eastAsia" w:ascii="仿宋_GB2312"/>
          <w:szCs w:val="32"/>
        </w:rPr>
      </w:pPr>
      <w:r>
        <w:rPr>
          <w:rFonts w:hint="eastAsia" w:ascii="仿宋_GB2312"/>
          <w:szCs w:val="32"/>
        </w:rPr>
        <w:t>各项目均未超出预算，使用率100%。</w:t>
      </w:r>
    </w:p>
    <w:p>
      <w:pPr>
        <w:topLinePunct/>
        <w:ind w:firstLine="594" w:firstLineChars="200"/>
        <w:rPr>
          <w:rFonts w:hint="eastAsia" w:ascii="仿宋_GB2312"/>
          <w:szCs w:val="32"/>
        </w:rPr>
      </w:pPr>
      <w:r>
        <w:rPr>
          <w:rFonts w:hint="eastAsia" w:ascii="仿宋_GB2312"/>
          <w:szCs w:val="32"/>
        </w:rPr>
        <w:t>2.项目的效率性分析。</w:t>
      </w:r>
    </w:p>
    <w:p>
      <w:pPr>
        <w:topLinePunct/>
        <w:ind w:firstLine="594" w:firstLineChars="200"/>
        <w:rPr>
          <w:rFonts w:hint="eastAsia" w:ascii="仿宋_GB2312"/>
          <w:szCs w:val="32"/>
        </w:rPr>
      </w:pPr>
      <w:r>
        <w:rPr>
          <w:rFonts w:hint="eastAsia" w:ascii="仿宋_GB2312"/>
          <w:szCs w:val="32"/>
        </w:rPr>
        <w:t>项目主要支出为农村饮水安全工程维修养护，不产生经济效益。但管理支出保证了基本管养工作，维修养护后使工程的运行能力得到很大的保障，确保农村供水设施、设备的安全运行，延长了工程的使用年限，保证供水的安全和需水需求。已按预期目标完成该工作。</w:t>
      </w:r>
    </w:p>
    <w:p>
      <w:pPr>
        <w:topLinePunct/>
        <w:ind w:firstLine="594" w:firstLineChars="200"/>
        <w:rPr>
          <w:rFonts w:hint="eastAsia" w:ascii="仿宋_GB2312"/>
          <w:szCs w:val="32"/>
        </w:rPr>
      </w:pPr>
      <w:r>
        <w:rPr>
          <w:rFonts w:hint="eastAsia" w:ascii="仿宋_GB2312"/>
          <w:szCs w:val="32"/>
        </w:rPr>
        <w:t>3.项目的效益性分析。</w:t>
      </w:r>
    </w:p>
    <w:p>
      <w:pPr>
        <w:topLinePunct/>
        <w:ind w:firstLine="594" w:firstLineChars="200"/>
        <w:rPr>
          <w:rFonts w:hint="eastAsia" w:ascii="仿宋_GB2312"/>
          <w:szCs w:val="32"/>
        </w:rPr>
      </w:pPr>
      <w:r>
        <w:rPr>
          <w:rFonts w:hint="eastAsia" w:ascii="仿宋_GB2312"/>
          <w:szCs w:val="32"/>
        </w:rPr>
        <w:t>已按预期目标完成该工作，落实最严格水资源管理工作各项控制优于市级下达指标，按计划完成了辖区农村集中式饮水设施水池、水塔清洗消毒工作，提高水质达标率保障农村居民饮水安全；完成对小古城水费补助，确保马金铺街道农村自备饮水安全工程正常运行，提高农村居民供水安全。减轻失地农民经济负担，减少地下水开采，取得社会效益较好。</w:t>
      </w:r>
    </w:p>
    <w:p/>
    <w:p/>
    <w:p/>
    <w:p>
      <w:pPr>
        <w:spacing w:line="600" w:lineRule="exact"/>
        <w:ind w:firstLine="5940" w:firstLineChars="2000"/>
        <w:rPr>
          <w:rFonts w:hint="eastAsia" w:ascii="仿宋_GB2312" w:hAnsi="Times New Roman" w:cs="Times New Roman"/>
          <w:color w:val="auto"/>
          <w:szCs w:val="32"/>
          <w:lang w:val="en-US" w:eastAsia="zh-CN"/>
        </w:rPr>
      </w:pPr>
      <w:r>
        <w:rPr>
          <w:rFonts w:hint="eastAsia" w:ascii="仿宋_GB2312" w:hAnsi="Times New Roman" w:cs="Times New Roman"/>
          <w:color w:val="auto"/>
          <w:szCs w:val="32"/>
          <w:lang w:val="en-US" w:eastAsia="zh-CN"/>
        </w:rPr>
        <w:t>水资源管理</w:t>
      </w:r>
      <w:bookmarkStart w:id="0" w:name="_GoBack"/>
      <w:bookmarkEnd w:id="0"/>
      <w:r>
        <w:rPr>
          <w:rFonts w:hint="eastAsia" w:ascii="仿宋_GB2312" w:hAnsi="Times New Roman" w:cs="Times New Roman"/>
          <w:color w:val="auto"/>
          <w:szCs w:val="32"/>
          <w:lang w:val="en-US" w:eastAsia="zh-CN"/>
        </w:rPr>
        <w:t>科</w:t>
      </w:r>
    </w:p>
    <w:p>
      <w:pPr>
        <w:spacing w:line="600" w:lineRule="exact"/>
        <w:ind w:firstLine="594" w:firstLineChars="200"/>
        <w:rPr>
          <w:rFonts w:hint="eastAsia" w:ascii="仿宋_GB2312" w:hAnsi="Times New Roman" w:cs="Times New Roman"/>
          <w:color w:val="auto"/>
          <w:szCs w:val="32"/>
          <w:lang w:val="en-US" w:eastAsia="zh-CN"/>
        </w:rPr>
      </w:pPr>
      <w:r>
        <w:rPr>
          <w:rFonts w:hint="eastAsia" w:ascii="仿宋_GB2312" w:hAnsi="Times New Roman" w:cs="Times New Roman"/>
          <w:color w:val="auto"/>
          <w:szCs w:val="32"/>
          <w:lang w:val="en-US" w:eastAsia="zh-CN"/>
        </w:rPr>
        <w:t xml:space="preserve">                                  2023年3月28日</w:t>
      </w: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C0E7E9"/>
    <w:multiLevelType w:val="singleLevel"/>
    <w:tmpl w:val="F2C0E7E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1MGJiZDQ4OTZiYWQxMTliMjJmOTZmMGM5N2ZmMTIifQ=="/>
  </w:docVars>
  <w:rsids>
    <w:rsidRoot w:val="00000000"/>
    <w:rsid w:val="05AE36CA"/>
    <w:rsid w:val="08065580"/>
    <w:rsid w:val="378A5996"/>
    <w:rsid w:val="5A3C6978"/>
    <w:rsid w:val="67600811"/>
    <w:rsid w:val="75FD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仿宋_GB2312" w:cs="Times New Roman"/>
      <w:sz w:val="18"/>
      <w:szCs w:val="18"/>
    </w:rPr>
  </w:style>
  <w:style w:type="character" w:styleId="5">
    <w:name w:val="page number"/>
    <w:basedOn w:val="4"/>
    <w:uiPriority w:val="0"/>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2090</Words>
  <Characters>2223</Characters>
  <Lines>0</Lines>
  <Paragraphs>0</Paragraphs>
  <TotalTime>4</TotalTime>
  <ScaleCrop>false</ScaleCrop>
  <LinksUpToDate>false</LinksUpToDate>
  <CharactersWithSpaces>2261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ZnAl</cp:lastModifiedBy>
  <dcterms:modified xsi:type="dcterms:W3CDTF">2023-03-28T06:17:05Z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540CCE973AB747998DEA1F907C52C313</vt:lpwstr>
  </property>
</Properties>
</file>