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昆明市呈贡区应急管理局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2021年安全生产专项转移支付资金经费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2021年</w:t>
      </w:r>
      <w:r>
        <w:rPr>
          <w:rFonts w:hint="eastAsia" w:ascii="仿宋_GB2312"/>
          <w:b w:val="0"/>
          <w:bCs/>
          <w:szCs w:val="32"/>
          <w:lang w:val="en-US" w:eastAsia="zh-CN"/>
        </w:rPr>
        <w:t>安全生产专项转移支付资金经费共143万元，2022年结转上年余额7.92万元，</w:t>
      </w:r>
      <w:r>
        <w:rPr>
          <w:rFonts w:hint="eastAsia" w:ascii="仿宋_GB2312"/>
          <w:szCs w:val="32"/>
          <w:lang w:val="en-US" w:eastAsia="zh-CN"/>
        </w:rPr>
        <w:t>2021年</w:t>
      </w:r>
      <w:r>
        <w:rPr>
          <w:rFonts w:hint="eastAsia" w:ascii="仿宋_GB2312"/>
          <w:szCs w:val="32"/>
          <w:lang w:eastAsia="zh-CN"/>
        </w:rPr>
        <w:t>直属应急救援分队市级补助资金经费上年结余资金13</w:t>
      </w:r>
      <w:r>
        <w:rPr>
          <w:rFonts w:hint="eastAsia" w:ascii="仿宋_GB2312"/>
          <w:szCs w:val="32"/>
          <w:lang w:val="en-US" w:eastAsia="zh-CN"/>
        </w:rPr>
        <w:t>.</w:t>
      </w:r>
      <w:r>
        <w:rPr>
          <w:rFonts w:hint="eastAsia" w:ascii="仿宋_GB2312"/>
          <w:szCs w:val="32"/>
          <w:lang w:eastAsia="zh-CN"/>
        </w:rPr>
        <w:t>64万元，</w:t>
      </w:r>
      <w:r>
        <w:rPr>
          <w:rFonts w:hint="eastAsia" w:ascii="仿宋_GB2312"/>
          <w:b w:val="0"/>
          <w:bCs/>
          <w:szCs w:val="32"/>
          <w:lang w:val="en-US" w:eastAsia="zh-CN"/>
        </w:rPr>
        <w:t>本笔资金为上级转移支付资金，主要用于</w:t>
      </w:r>
      <w:r>
        <w:rPr>
          <w:rFonts w:hint="eastAsia" w:ascii="仿宋_GB2312"/>
          <w:szCs w:val="32"/>
        </w:rPr>
        <w:t>安全生产大检查、安全生产隐患治理、应急能力建设、应急救援队伍建设、危化品物资储备库建设等与安全生产相关的支出。其他专项安全生产专项资金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</w:t>
      </w:r>
    </w:p>
    <w:p>
      <w:pPr>
        <w:ind w:firstLine="645"/>
        <w:rPr>
          <w:rFonts w:hint="eastAsia" w:ascii="仿宋_GB2312"/>
          <w:szCs w:val="32"/>
        </w:rPr>
      </w:pPr>
      <w:r>
        <w:rPr>
          <w:rFonts w:hint="eastAsia" w:ascii="仿宋_GB2312" w:hAnsi="Arial" w:cs="Arial"/>
          <w:szCs w:val="32"/>
          <w:lang w:eastAsia="zh-CN"/>
        </w:rPr>
        <w:t>单位在专项资金绩效目标设定时，严格按照上级下达资金时制定的绩效目标，结合单位实际情况制定科学、合理、量化的项目支出绩效目标。单位对专项资金进行了绩效评价，</w:t>
      </w:r>
      <w:r>
        <w:rPr>
          <w:rFonts w:hint="eastAsia" w:ascii="仿宋_GB2312" w:hAnsi="Arial" w:cs="Arial"/>
          <w:szCs w:val="32"/>
        </w:rPr>
        <w:t>绩效评价过程中未发现有截留、挤占或挪用项目资金的情况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ind w:firstLine="645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截止2022年12月31日，我单位专项转移支付资金已支付7.88万元，支付率99.5%。具体使用情况如下：</w:t>
      </w:r>
    </w:p>
    <w:p>
      <w:pPr>
        <w:ind w:firstLine="645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1.支付应急队购买水域漂浮救援绳23008元。</w:t>
      </w:r>
    </w:p>
    <w:p>
      <w:pPr>
        <w:ind w:firstLine="645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2.支付应急队购买应急装备费用55745元。</w:t>
      </w:r>
    </w:p>
    <w:p>
      <w:pPr>
        <w:ind w:firstLine="645"/>
        <w:rPr>
          <w:rFonts w:hint="default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3.应急队购买森林消防水泵、森林消防水带、水域救援抛绳包。</w:t>
      </w:r>
      <w:bookmarkStart w:id="0" w:name="_GoBack"/>
      <w:bookmarkEnd w:id="0"/>
    </w:p>
    <w:p>
      <w:pPr>
        <w:ind w:firstLine="645"/>
        <w:rPr>
          <w:rFonts w:hint="eastAsia" w:ascii="仿宋_GB2312"/>
          <w:b w:val="0"/>
          <w:bCs/>
          <w:szCs w:val="32"/>
          <w:lang w:val="en-US" w:eastAsia="zh-CN"/>
        </w:rPr>
      </w:pPr>
      <w:r>
        <w:rPr>
          <w:rFonts w:hint="eastAsia" w:ascii="仿宋_GB2312"/>
          <w:b w:val="0"/>
          <w:bCs/>
          <w:szCs w:val="32"/>
          <w:lang w:val="en-US" w:eastAsia="zh-CN"/>
        </w:rPr>
        <w:t>本</w:t>
      </w:r>
      <w:r>
        <w:rPr>
          <w:rFonts w:hint="eastAsia" w:ascii="仿宋_GB2312" w:hAnsi="Arial" w:cs="Arial"/>
          <w:szCs w:val="32"/>
        </w:rPr>
        <w:t>项目经费严格按照单位的财务制度和预算支出的范围使用。项目支出均有单位相关的授权审批，资金拨付严格按照审批程序，使用规范，会计核算结果真实、准确</w:t>
      </w:r>
      <w:r>
        <w:rPr>
          <w:rFonts w:hint="eastAsia" w:ascii="仿宋_GB2312" w:hAnsi="Arial" w:cs="Arial"/>
          <w:szCs w:val="32"/>
          <w:lang w:eastAsia="zh-CN"/>
        </w:rPr>
        <w:t>，不存在专款不专用的情况。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项目组织情况分析：</w:t>
      </w:r>
      <w:r>
        <w:rPr>
          <w:rFonts w:hint="eastAsia" w:ascii="仿宋_GB2312" w:hAnsi="Arial" w:cs="Arial"/>
          <w:color w:val="000000"/>
          <w:szCs w:val="32"/>
        </w:rPr>
        <w:t>该项目属于经常性零星项目，没有达到招投标权限，由本单位自行组织实施。实施过程都是按照单位制定的管理制度来执行。 </w:t>
      </w:r>
    </w:p>
    <w:p>
      <w:pPr>
        <w:ind w:firstLine="594" w:firstLineChars="200"/>
        <w:outlineLvl w:val="0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ascii="仿宋_GB2312"/>
          <w:szCs w:val="32"/>
        </w:rPr>
        <w:t>2.</w:t>
      </w:r>
      <w:r>
        <w:rPr>
          <w:rFonts w:hint="eastAsia" w:ascii="仿宋_GB2312"/>
          <w:szCs w:val="32"/>
        </w:rPr>
        <w:t>项目管理情况分析：</w:t>
      </w:r>
      <w:r>
        <w:rPr>
          <w:rFonts w:hint="eastAsia" w:ascii="仿宋_GB2312" w:hAnsi="Arial" w:cs="Arial"/>
          <w:szCs w:val="32"/>
        </w:rPr>
        <w:t>项目实施过程中，严格按照单位的财务制度和预算支出范围的使用</w:t>
      </w:r>
      <w:r>
        <w:rPr>
          <w:rFonts w:hint="eastAsia" w:ascii="仿宋_GB2312" w:hAnsi="Arial" w:cs="Arial"/>
          <w:szCs w:val="32"/>
          <w:lang w:val="en-US" w:eastAsia="zh-CN"/>
        </w:rPr>
        <w:t>.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（一）</w:t>
      </w:r>
      <w:r>
        <w:rPr>
          <w:rFonts w:hint="eastAsia" w:ascii="仿宋_GB2312"/>
          <w:szCs w:val="32"/>
        </w:rPr>
        <w:t>项目的经济性分析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）项目成本（预算）控制情况：项目的支出符合年初制定的预算目标，预算完成率99.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%。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）项目成本（预算）节约情况：在资金管理方面做到专款专用，严格控制专项资金的支出合法、合规使用。无截留、挤占、滥用情况。</w:t>
      </w:r>
    </w:p>
    <w:p>
      <w:pPr>
        <w:numPr>
          <w:ilvl w:val="0"/>
          <w:numId w:val="1"/>
        </w:numPr>
        <w:topLinePunct/>
        <w:ind w:left="0" w:leftChars="0"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项目的效率性分析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hint="eastAsia"/>
          <w:szCs w:val="21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）项目的实施进度：</w:t>
      </w:r>
      <w:r>
        <w:rPr>
          <w:rFonts w:hint="eastAsia" w:ascii="仿宋_GB2312" w:hAnsi="Arial" w:cs="Arial"/>
          <w:szCs w:val="32"/>
        </w:rPr>
        <w:t>项目是按照工作的需求逐步进行，到202</w:t>
      </w:r>
      <w:r>
        <w:rPr>
          <w:rFonts w:hint="eastAsia" w:ascii="仿宋_GB2312" w:hAnsi="Arial" w:cs="Arial"/>
          <w:szCs w:val="32"/>
          <w:lang w:val="en-US" w:eastAsia="zh-CN"/>
        </w:rPr>
        <w:t>2</w:t>
      </w:r>
      <w:r>
        <w:rPr>
          <w:rFonts w:hint="eastAsia" w:ascii="仿宋_GB2312" w:hAnsi="Arial" w:cs="Arial"/>
          <w:szCs w:val="32"/>
        </w:rPr>
        <w:t>年底已完成了全部工作目标，</w:t>
      </w:r>
      <w:r>
        <w:rPr>
          <w:rFonts w:hint="eastAsia" w:ascii="仿宋_GB2312" w:hAnsi="宋体" w:cs="宋体"/>
          <w:szCs w:val="32"/>
        </w:rPr>
        <w:t>项目支出预算执行进度为99.</w:t>
      </w:r>
      <w:r>
        <w:rPr>
          <w:rFonts w:hint="eastAsia" w:ascii="仿宋_GB2312" w:hAnsi="宋体" w:cs="宋体"/>
          <w:szCs w:val="32"/>
          <w:lang w:val="en-US" w:eastAsia="zh-CN"/>
        </w:rPr>
        <w:t>5</w:t>
      </w:r>
      <w:r>
        <w:rPr>
          <w:rFonts w:hint="eastAsia" w:ascii="仿宋_GB2312" w:hAnsi="宋体" w:cs="宋体"/>
          <w:szCs w:val="32"/>
        </w:rPr>
        <w:t>%。</w:t>
      </w:r>
    </w:p>
    <w:p>
      <w:pPr>
        <w:widowControl/>
        <w:overflowPunct w:val="0"/>
        <w:autoSpaceDE w:val="0"/>
        <w:autoSpaceDN w:val="0"/>
        <w:adjustRightInd w:val="0"/>
        <w:ind w:firstLine="594" w:firstLineChars="200"/>
        <w:rPr>
          <w:rFonts w:hint="eastAsia" w:ascii="仿宋_GB2312"/>
          <w:bCs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）项目完成质量：</w:t>
      </w:r>
      <w:r>
        <w:rPr>
          <w:rFonts w:hint="eastAsia" w:ascii="仿宋_GB2312" w:hAnsi="_4eff_5b8b_GB2312" w:cs="宋体"/>
          <w:color w:val="000000"/>
          <w:kern w:val="0"/>
          <w:szCs w:val="32"/>
        </w:rPr>
        <w:t>按照“三个必须”要求，全面落实安全生产“党政同责、一岗双责、失职追责”的监管责任，强化安全生产目标管理，深入开展各项专项整治，确保了全区安全生产形势平稳发展，</w:t>
      </w:r>
      <w:r>
        <w:rPr>
          <w:rFonts w:hint="eastAsia" w:ascii="仿宋_GB2312"/>
          <w:bCs/>
          <w:szCs w:val="32"/>
        </w:rPr>
        <w:t>圆满完成了各项工作。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（三）</w:t>
      </w:r>
      <w:r>
        <w:rPr>
          <w:rFonts w:hint="eastAsia" w:ascii="仿宋_GB2312"/>
          <w:szCs w:val="32"/>
        </w:rPr>
        <w:t>项目的有效性分析</w:t>
      </w:r>
    </w:p>
    <w:p>
      <w:pPr>
        <w:widowControl/>
        <w:ind w:firstLine="594" w:firstLineChars="200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主要是对反映项目资金使用效果的个性指标进行分析</w:t>
      </w:r>
    </w:p>
    <w:p>
      <w:pPr>
        <w:widowControl/>
        <w:ind w:firstLine="594" w:firstLineChars="200"/>
        <w:jc w:val="left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val="en-US" w:eastAsia="zh-CN"/>
        </w:rPr>
        <w:t>2022年应急局</w:t>
      </w:r>
      <w:r>
        <w:rPr>
          <w:rFonts w:hint="eastAsia" w:ascii="仿宋_GB2312"/>
          <w:szCs w:val="32"/>
        </w:rPr>
        <w:t>负责应急管理工作，指导各街道、各部门应对安全生产类、自然灾害类等突发事件和综合减灾救灾工作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指导应急预案体系建设，建立完善事故灾难和自然灾害分级应对制度，组织编制区级总体应急预案和安全生产类、自然灾害类专项预案，综合协调应急预案衔接工作，组织开展预案演练，推动应急重点工程和应急避难设施建设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牵头建立全区统一的应急管理信息系统，并与国家及省、市应急管理信息系统相衔接</w:t>
      </w:r>
      <w:r>
        <w:rPr>
          <w:rFonts w:hint="eastAsia" w:ascii="仿宋_GB2312"/>
          <w:szCs w:val="32"/>
          <w:lang w:eastAsia="zh-CN"/>
        </w:rPr>
        <w:t>，此资金为顺利完成单位年度工作提供了有力的保障。</w:t>
      </w:r>
    </w:p>
    <w:p>
      <w:pPr>
        <w:topLinePunct/>
        <w:ind w:firstLine="594" w:firstLineChars="200"/>
        <w:jc w:val="both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（四）</w:t>
      </w:r>
      <w:r>
        <w:rPr>
          <w:rFonts w:hint="eastAsia" w:ascii="仿宋_GB2312"/>
          <w:szCs w:val="32"/>
        </w:rPr>
        <w:t>项目的可持续性分析</w:t>
      </w:r>
    </w:p>
    <w:p>
      <w:pPr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本</w:t>
      </w:r>
      <w:r>
        <w:rPr>
          <w:rFonts w:hint="eastAsia" w:ascii="仿宋_GB2312"/>
          <w:szCs w:val="32"/>
        </w:rPr>
        <w:t>项目完成后，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  <w:lang w:val="zh-CN"/>
        </w:rPr>
        <w:t>奠定呈贡安全生产基础；</w:t>
      </w:r>
      <w:r>
        <w:rPr>
          <w:rFonts w:hint="eastAsia" w:ascii="仿宋_GB2312" w:hAnsi="仿宋_GB2312" w:cs="仿宋_GB2312"/>
          <w:szCs w:val="32"/>
        </w:rPr>
        <w:t>深化应急体系改革，应急救援能力得到全面提升</w:t>
      </w:r>
      <w:r>
        <w:rPr>
          <w:rFonts w:hint="eastAsia" w:ascii="仿宋_GB2312" w:hAnsi="仿宋_GB2312" w:cs="仿宋_GB2312"/>
          <w:szCs w:val="32"/>
          <w:lang w:eastAsia="zh-CN"/>
        </w:rPr>
        <w:t>，减少</w:t>
      </w:r>
      <w:r>
        <w:rPr>
          <w:rFonts w:hint="eastAsia" w:ascii="仿宋_GB2312" w:hAnsi="仿宋_GB2312" w:cs="仿宋_GB2312"/>
          <w:szCs w:val="32"/>
        </w:rPr>
        <w:t>区安全生产隐患发生率、安全生产事故损失、受灾群众不满意投诉均降至最低，为呈贡区高质量创建现代化科教创新新城</w:t>
      </w:r>
      <w:r>
        <w:rPr>
          <w:rFonts w:hint="eastAsia"/>
          <w:spacing w:val="-4"/>
          <w:kern w:val="0"/>
          <w:szCs w:val="32"/>
        </w:rPr>
        <w:t>提供坚强的应急力量保障。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没有制定专项资金使用办法，使用局机关资金使用办法。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无。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（三）资金拨付方面的问题。</w:t>
      </w:r>
      <w:r>
        <w:rPr>
          <w:rFonts w:hint="eastAsia" w:ascii="仿宋_GB2312"/>
          <w:szCs w:val="32"/>
          <w:lang w:eastAsia="zh-CN"/>
        </w:rPr>
        <w:t>无，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（四）资金使用方面的问题。</w:t>
      </w:r>
      <w:r>
        <w:rPr>
          <w:rFonts w:hint="eastAsia" w:ascii="仿宋_GB2312"/>
          <w:szCs w:val="32"/>
          <w:lang w:eastAsia="zh-CN"/>
        </w:rPr>
        <w:t>无。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（一）后续工作计划。</w:t>
      </w:r>
    </w:p>
    <w:p>
      <w:pPr>
        <w:topLinePunct/>
        <w:ind w:firstLine="594" w:firstLineChars="200"/>
        <w:rPr>
          <w:rFonts w:hint="eastAsia" w:ascii="仿宋_GB2312" w:hAnsi="宋体" w:cs="宋体"/>
          <w:color w:val="000000"/>
          <w:kern w:val="0"/>
          <w:szCs w:val="32"/>
        </w:rPr>
      </w:pP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加大</w:t>
      </w:r>
      <w:r>
        <w:rPr>
          <w:rFonts w:hint="eastAsia" w:ascii="仿宋_GB2312" w:hAnsi="宋体" w:cs="宋体"/>
          <w:color w:val="000000"/>
          <w:kern w:val="0"/>
          <w:szCs w:val="32"/>
        </w:rPr>
        <w:t>预算执行力度，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针对</w:t>
      </w:r>
      <w:r>
        <w:rPr>
          <w:rFonts w:hint="eastAsia" w:ascii="仿宋_GB2312" w:hAnsi="宋体" w:cs="宋体"/>
          <w:color w:val="000000"/>
          <w:kern w:val="0"/>
          <w:szCs w:val="32"/>
        </w:rPr>
        <w:t>有时未能在财政要求的时限内完成支出进度等问题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，</w:t>
      </w:r>
      <w:r>
        <w:rPr>
          <w:rFonts w:hint="eastAsia" w:ascii="仿宋_GB2312" w:hAnsi="宋体" w:cs="宋体"/>
          <w:color w:val="000000"/>
          <w:kern w:val="0"/>
          <w:szCs w:val="32"/>
        </w:rPr>
        <w:t>我单位在预算执行方面，已完善了预算执行管理办法，建立健全预算绩效管理体系，增强预算执行的严肃性，提高预算执行的准确率和时效性。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（二）主要经验做法、改进措施和有关建议等。</w:t>
      </w:r>
    </w:p>
    <w:p>
      <w:pPr>
        <w:topLinePunct/>
        <w:ind w:firstLine="594" w:firstLineChars="200"/>
        <w:rPr>
          <w:rFonts w:hint="eastAsia"/>
          <w:lang w:val="en-US" w:eastAsia="zh-CN"/>
        </w:rPr>
      </w:pPr>
      <w:r>
        <w:rPr>
          <w:rFonts w:hint="eastAsia" w:ascii="仿宋_GB2312"/>
          <w:szCs w:val="32"/>
        </w:rPr>
        <w:t>项目支出运行实践经验还欠缺，我单位相关人员配备还显不足，相关制度建设还有待进一步加强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 w:hAnsi="宋体" w:cs="宋体"/>
          <w:color w:val="000000"/>
          <w:kern w:val="0"/>
          <w:szCs w:val="32"/>
          <w:lang w:val="en-US" w:eastAsia="zh-CN"/>
        </w:rPr>
        <w:t>2023年我部门</w:t>
      </w:r>
      <w:r>
        <w:rPr>
          <w:rFonts w:hint="eastAsia" w:ascii="仿宋_GB2312" w:hAnsi="宋体" w:cs="宋体"/>
          <w:color w:val="000000"/>
          <w:kern w:val="0"/>
          <w:szCs w:val="32"/>
        </w:rPr>
        <w:t>加强预算管理、促进信息公开、建立奖惩机制，遵循先有预算、后有支出的原则，严格执行预算，严禁超预算或者无预算安排支出，严禁虚列支出、转移或者套取预算资金等现象发生</w:t>
      </w:r>
      <w:r>
        <w:rPr>
          <w:rFonts w:hint="eastAsia" w:ascii="仿宋_GB2312" w:hAnsi="宋体" w:cs="宋体"/>
          <w:color w:val="000000"/>
          <w:kern w:val="0"/>
          <w:szCs w:val="32"/>
          <w:lang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ind w:firstLine="594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ind w:firstLine="594" w:firstLineChars="200"/>
        <w:jc w:val="right"/>
        <w:rPr>
          <w:rFonts w:hint="eastAsia"/>
          <w:lang w:val="en-US" w:eastAsia="zh-CN"/>
        </w:rPr>
      </w:pPr>
    </w:p>
    <w:p>
      <w:pPr>
        <w:ind w:firstLine="594" w:firstLineChars="200"/>
        <w:jc w:val="right"/>
        <w:rPr>
          <w:rFonts w:ascii="仿宋_GB2312"/>
          <w:sz w:val="28"/>
          <w:szCs w:val="28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昆明市呈贡区应急管理局</w:t>
      </w:r>
    </w:p>
    <w:p>
      <w:pPr>
        <w:ind w:right="632" w:firstLine="594" w:firstLineChars="200"/>
        <w:jc w:val="right"/>
        <w:rPr>
          <w:rFonts w:ascii="仿宋_GB2312" w:hAnsi="宋体"/>
        </w:rPr>
      </w:pPr>
      <w:r>
        <w:rPr>
          <w:rFonts w:hint="eastAsia" w:ascii="仿宋_GB2312" w:hAnsi="宋体"/>
          <w:lang w:val="en-US" w:eastAsia="zh-CN"/>
        </w:rPr>
        <w:t xml:space="preserve"> </w:t>
      </w:r>
      <w:r>
        <w:rPr>
          <w:rFonts w:hint="eastAsia" w:ascii="仿宋_GB2312" w:hAnsi="宋体"/>
        </w:rPr>
        <w:t>202</w:t>
      </w:r>
      <w:r>
        <w:rPr>
          <w:rFonts w:hint="eastAsia" w:ascii="仿宋_GB2312" w:hAnsi="宋体"/>
          <w:lang w:val="en-US" w:eastAsia="zh-CN"/>
        </w:rPr>
        <w:t>3</w:t>
      </w:r>
      <w:r>
        <w:rPr>
          <w:rFonts w:hint="eastAsia" w:ascii="仿宋_GB2312" w:hAnsi="宋体"/>
        </w:rPr>
        <w:t>年</w:t>
      </w:r>
      <w:r>
        <w:rPr>
          <w:rFonts w:hint="eastAsia" w:ascii="仿宋_GB2312" w:hAnsi="宋体"/>
          <w:lang w:val="en-US" w:eastAsia="zh-CN"/>
        </w:rPr>
        <w:t>3</w:t>
      </w:r>
      <w:r>
        <w:rPr>
          <w:rFonts w:hint="eastAsia" w:ascii="仿宋_GB2312" w:hAnsi="宋体"/>
        </w:rPr>
        <w:t>月</w:t>
      </w:r>
      <w:r>
        <w:rPr>
          <w:rFonts w:hint="eastAsia" w:ascii="仿宋_GB2312" w:hAnsi="宋体"/>
          <w:lang w:val="en-US" w:eastAsia="zh-CN"/>
        </w:rPr>
        <w:t>27</w:t>
      </w:r>
      <w:r>
        <w:rPr>
          <w:rFonts w:hint="eastAsia" w:ascii="仿宋_GB2312" w:hAnsi="宋体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C6EFC"/>
    <w:multiLevelType w:val="singleLevel"/>
    <w:tmpl w:val="874C6E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48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823F5"/>
    <w:rsid w:val="05AE36CA"/>
    <w:rsid w:val="068A7453"/>
    <w:rsid w:val="069E44D3"/>
    <w:rsid w:val="074506DF"/>
    <w:rsid w:val="077D7D81"/>
    <w:rsid w:val="080D24AD"/>
    <w:rsid w:val="081F20B9"/>
    <w:rsid w:val="08772B15"/>
    <w:rsid w:val="096B2A38"/>
    <w:rsid w:val="09E00329"/>
    <w:rsid w:val="09EB2885"/>
    <w:rsid w:val="0ABC3F81"/>
    <w:rsid w:val="0D054CBA"/>
    <w:rsid w:val="0F294E3D"/>
    <w:rsid w:val="0F3928D9"/>
    <w:rsid w:val="0F6F0E51"/>
    <w:rsid w:val="10045719"/>
    <w:rsid w:val="112834D3"/>
    <w:rsid w:val="116541F5"/>
    <w:rsid w:val="13AD5355"/>
    <w:rsid w:val="13CF59AF"/>
    <w:rsid w:val="141068CD"/>
    <w:rsid w:val="14700887"/>
    <w:rsid w:val="15155CCE"/>
    <w:rsid w:val="151F3DE1"/>
    <w:rsid w:val="16270FA9"/>
    <w:rsid w:val="174C1744"/>
    <w:rsid w:val="199344D0"/>
    <w:rsid w:val="19A03B0D"/>
    <w:rsid w:val="19BA6B8D"/>
    <w:rsid w:val="1A0922A6"/>
    <w:rsid w:val="1A8842B6"/>
    <w:rsid w:val="20E5527A"/>
    <w:rsid w:val="219E4FB2"/>
    <w:rsid w:val="21B349A3"/>
    <w:rsid w:val="228F7541"/>
    <w:rsid w:val="23DB562D"/>
    <w:rsid w:val="24342503"/>
    <w:rsid w:val="250A4F33"/>
    <w:rsid w:val="26996876"/>
    <w:rsid w:val="27592C95"/>
    <w:rsid w:val="277D0BEE"/>
    <w:rsid w:val="27A23CFF"/>
    <w:rsid w:val="284968D6"/>
    <w:rsid w:val="28D40B33"/>
    <w:rsid w:val="2C411256"/>
    <w:rsid w:val="2EC054A4"/>
    <w:rsid w:val="2F4A1466"/>
    <w:rsid w:val="30587247"/>
    <w:rsid w:val="3077322F"/>
    <w:rsid w:val="317D5001"/>
    <w:rsid w:val="31AC57F4"/>
    <w:rsid w:val="323F3379"/>
    <w:rsid w:val="32FB46C3"/>
    <w:rsid w:val="336A4674"/>
    <w:rsid w:val="33A20BCB"/>
    <w:rsid w:val="340C7707"/>
    <w:rsid w:val="34920171"/>
    <w:rsid w:val="34BF5EF9"/>
    <w:rsid w:val="356317D4"/>
    <w:rsid w:val="364F21AE"/>
    <w:rsid w:val="378A5996"/>
    <w:rsid w:val="38B9121F"/>
    <w:rsid w:val="3946563F"/>
    <w:rsid w:val="3A3475DD"/>
    <w:rsid w:val="3A5744A7"/>
    <w:rsid w:val="3AD931F5"/>
    <w:rsid w:val="3BD8106A"/>
    <w:rsid w:val="3C483F14"/>
    <w:rsid w:val="3D7A455E"/>
    <w:rsid w:val="3E02749C"/>
    <w:rsid w:val="407E6060"/>
    <w:rsid w:val="40AE5E41"/>
    <w:rsid w:val="429B2DB8"/>
    <w:rsid w:val="43025A81"/>
    <w:rsid w:val="436322AE"/>
    <w:rsid w:val="44297978"/>
    <w:rsid w:val="46303092"/>
    <w:rsid w:val="46815CD5"/>
    <w:rsid w:val="47E47930"/>
    <w:rsid w:val="49D27F37"/>
    <w:rsid w:val="4AA72F06"/>
    <w:rsid w:val="4AF418E7"/>
    <w:rsid w:val="4B2A67FA"/>
    <w:rsid w:val="4B545ADE"/>
    <w:rsid w:val="4D9E317E"/>
    <w:rsid w:val="514E5EDA"/>
    <w:rsid w:val="52C21512"/>
    <w:rsid w:val="553465CB"/>
    <w:rsid w:val="55716935"/>
    <w:rsid w:val="55BD7EE2"/>
    <w:rsid w:val="56094C7E"/>
    <w:rsid w:val="560A7516"/>
    <w:rsid w:val="56425AFB"/>
    <w:rsid w:val="5665021F"/>
    <w:rsid w:val="56DC0F65"/>
    <w:rsid w:val="56F20B76"/>
    <w:rsid w:val="57B35922"/>
    <w:rsid w:val="57ED2A32"/>
    <w:rsid w:val="588C22B1"/>
    <w:rsid w:val="598E5B20"/>
    <w:rsid w:val="59D22645"/>
    <w:rsid w:val="5A3C6978"/>
    <w:rsid w:val="5A4320BF"/>
    <w:rsid w:val="5B502472"/>
    <w:rsid w:val="5B666C7E"/>
    <w:rsid w:val="5BAE118C"/>
    <w:rsid w:val="5BD43362"/>
    <w:rsid w:val="5BF002F3"/>
    <w:rsid w:val="5CB15825"/>
    <w:rsid w:val="5CDC6BE1"/>
    <w:rsid w:val="5D0C2B6C"/>
    <w:rsid w:val="5F226C65"/>
    <w:rsid w:val="61881620"/>
    <w:rsid w:val="62924E88"/>
    <w:rsid w:val="62A0064D"/>
    <w:rsid w:val="62E509BA"/>
    <w:rsid w:val="64583D8B"/>
    <w:rsid w:val="64E11530"/>
    <w:rsid w:val="65864E51"/>
    <w:rsid w:val="671F329A"/>
    <w:rsid w:val="67600811"/>
    <w:rsid w:val="67A14275"/>
    <w:rsid w:val="696A4A74"/>
    <w:rsid w:val="6B83486D"/>
    <w:rsid w:val="6C7E5171"/>
    <w:rsid w:val="6C9378D3"/>
    <w:rsid w:val="6CF7003E"/>
    <w:rsid w:val="6D357688"/>
    <w:rsid w:val="6D3F1768"/>
    <w:rsid w:val="6D7204B8"/>
    <w:rsid w:val="6DB342C2"/>
    <w:rsid w:val="6DBD26FF"/>
    <w:rsid w:val="710A5CFA"/>
    <w:rsid w:val="712B14E9"/>
    <w:rsid w:val="71DE60E8"/>
    <w:rsid w:val="71E87AB2"/>
    <w:rsid w:val="725E210C"/>
    <w:rsid w:val="736758E1"/>
    <w:rsid w:val="749D6DAF"/>
    <w:rsid w:val="759B4048"/>
    <w:rsid w:val="77D332AB"/>
    <w:rsid w:val="79AD13D0"/>
    <w:rsid w:val="7A6B74C5"/>
    <w:rsid w:val="7AF849B8"/>
    <w:rsid w:val="7CED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Times New Roman"/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HOP</cp:lastModifiedBy>
  <dcterms:modified xsi:type="dcterms:W3CDTF">2023-03-27T07:40:47Z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