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呈贡区斗南街道社区卫生服务中心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2022年200万元以下的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项目支出绩效报告（自评）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一、项目基本情况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我单位本年度项目支出总计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2883502.81元，单个200万元以上项目1个（已单独自评），200万元以下具体包含以下7个项目：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1、宣传和社会事业党工委党员教育活动经费项目：主要用于党员教育活动的办公费。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2、卫生计生信息系统网络租用运行维护补助经费项目：主要用于支付单位网络租用及维护的费用。</w:t>
      </w:r>
    </w:p>
    <w:p>
      <w:pPr>
        <w:topLinePunct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3、卫生工作经费项目：主要为街道拨予我单位用于支持开展疫情防控、基本医疗及公共卫生服务工作。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4、2022年度基本药物制度补助资金项目：为贯彻落实国家基本药物制度，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主要用于社区卫生服务中心（站）的运行的运行保障和能力建设补助，包括人员及公用经费、基本建设、设备建设、设备购置、人员培训和人才招聘等符合政府卫生投入政策的项目。其次该资金还用于对乡村医生的收入补助，加强和规范各社区卫生室实施基本药物制度的管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强化基层医疗卫生机构的公益性和责任意识，提升基层医疗卫生机构的服务质量，通过采取定额补助与绩效考核结算相结合的原则，对各卫生室进行考核兑现。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5、传染病预防体检经费项目：主要用于呈贡区从业人员健康体检工作，完成创建卫生城市文明城市等相关指标。</w:t>
      </w:r>
    </w:p>
    <w:p>
      <w:pPr>
        <w:numPr>
          <w:ilvl w:val="0"/>
          <w:numId w:val="1"/>
        </w:num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重大公共卫生综合项目区级疫情防控资金项目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：主要用于支付疫情防控期间留观酒店工作人员工资及管理费。</w:t>
      </w:r>
    </w:p>
    <w:p>
      <w:pPr>
        <w:numPr>
          <w:ilvl w:val="0"/>
          <w:numId w:val="0"/>
        </w:num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7、部分新冠肺炎疫情防控工作经费项目：主要用于</w:t>
      </w:r>
      <w:r>
        <w:rPr>
          <w:rFonts w:hint="eastAsia" w:ascii="宋体" w:hAnsi="宋体" w:eastAsia="宋体" w:cs="宋体"/>
          <w:bCs/>
          <w:sz w:val="28"/>
          <w:szCs w:val="28"/>
        </w:rPr>
        <w:t>按照呈贡区新冠疫情指挥部的安排部署及要求，抓好常态化疫情防控工作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支付疫情防控期间临时聘用医护人员劳务费、采购疫情防控物资及支付核酸采样相关费用、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购买应急防护物资，做好物资储备。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二、项目资金使用及实施情况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1、宣传和社会事业党工委党员教育活动经费5901.20元：主要用于党员教育活动的办公费。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2、卫生计生信息系统网络租用运行维护补助经费52360元：主要用于支付单位网络租用及维护的费用。</w:t>
      </w:r>
    </w:p>
    <w:p>
      <w:pPr>
        <w:topLinePunct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3、卫生工作经费30882.69元：主要用于单位日常运转中产生的办公费、水费、邮电费、维修（护）费、专用材料费等。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4、2022年度基本药物制度补助资金258318.80元，其中：中央资金218718.80元，省级资金39600元。资金主要用于支付外聘人员的劳务费、发放乡村医生基本药物制度补助等。</w:t>
      </w:r>
    </w:p>
    <w:p>
      <w:p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5、传染病预防体检经费130000元，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下达金额：200000元，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2022年3月按照区财政局【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关于报送预算指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调剂情况的通知】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要求调减了35%。此笔项目经费主要用于和从业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人员健康体检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相关的劳务费、办公费、试剂耗材费等开支。</w:t>
      </w:r>
    </w:p>
    <w:p>
      <w:pPr>
        <w:numPr>
          <w:numId w:val="0"/>
        </w:num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重大公共卫生综合项目区级疫情防控资金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118800元，主要用于支付疫情防控期间留观酒店工作人员工资及管理费。</w:t>
      </w:r>
    </w:p>
    <w:p>
      <w:pPr>
        <w:numPr>
          <w:ilvl w:val="0"/>
          <w:numId w:val="0"/>
        </w:numPr>
        <w:topLinePunct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7、部分新冠肺炎疫情防控工作经费101181.48元，主要用于疫情防控期间留观酒店人员的工资及管理费，新冠核酸采样工作临时聘请工作人员劳务费。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-220" w:leftChars="0"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区卫健局成立呈贡区卫健系统预算绩效管理工作领导小组，制定预算绩效管理方案印发各下属单位，中心预算绩效管理工作领导小组收集各业务部门202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年工作目标完成情况后，按照预算绩效管理方案中的指标评分表对部门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支出绩效开展自评，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年度部门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支出绩效自评分为9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分，自评完成后将自评工作材料上报呈贡区卫健局汇总。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20" w:leftChars="0"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1、经济性分析。中心严格按照财政拨款预算批复文件，在预算执行过程中，节约不必要的预算支出，严格控制人员及公用经费开支，未出现决算数大于调整预算数的情况。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2、效率性分析。中心均按照规定的预算执行进度按质按量执行预算，每个季度通报的各预算单位预算执行进度均达到时序要求，确保开展医疗卫生事务的人员及公用经费开支。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3、效益性分析。基本完成预期设定的基本公共卫生服务目标人群及医疗服务人次、医疗收入增长的目标，提升了辖区居民的健康素养水平和就医感受，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居民通过基层卫生服务机构能够获得安全、有效、经济、方便、综合、连续的公共卫生和基本医疗服务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得到了居民的认可。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（一）专项管理方面的问题。专项立项依据充分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，严格执行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资金管理办法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（二）资金分配方面的问题。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（四）资金使用方面的问题。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资金使用合规，无截留、挪用等现象，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资金使用产生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现状和《全国医疗卫生服务体系规划纲要（2015-2020年）》，逐年加强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医疗卫生机构基础设施建设,完善服务功能，规范基本公共卫生服务工作，提高基层卫生服务水平和质量，改善群众就医环境。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加强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中心医疗服务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能力建设，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提升基层医疗卫生机构服务能力。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进一步健全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医疗卫生服务网络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按照打造15分钟卫生服务圈的目标要求，充实和加强薄弱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的医疗卫生服务工作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推动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中心重点学科和特色专科建设，引领重点，突出特色。开展科研课题研究及新技术、新项目引进和推广，提升医疗服务能力和水平。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昆明市呈贡区斗南街道社区卫生服务中心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1B3CE"/>
    <w:multiLevelType w:val="singleLevel"/>
    <w:tmpl w:val="E131B3CE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86CCF88"/>
    <w:multiLevelType w:val="singleLevel"/>
    <w:tmpl w:val="786CCF88"/>
    <w:lvl w:ilvl="0" w:tentative="0">
      <w:start w:val="3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JjODM0NmYxNGU2MzA1NGEyYTBjMzhkOTNmOWFmMjUifQ=="/>
  </w:docVars>
  <w:rsids>
    <w:rsidRoot w:val="0092115A"/>
    <w:rsid w:val="0002448B"/>
    <w:rsid w:val="00087621"/>
    <w:rsid w:val="000C422D"/>
    <w:rsid w:val="000D5686"/>
    <w:rsid w:val="001B26A8"/>
    <w:rsid w:val="00206DC4"/>
    <w:rsid w:val="002178FD"/>
    <w:rsid w:val="00230023"/>
    <w:rsid w:val="002A77ED"/>
    <w:rsid w:val="00313FA4"/>
    <w:rsid w:val="0038623A"/>
    <w:rsid w:val="003A6E4D"/>
    <w:rsid w:val="00400CEA"/>
    <w:rsid w:val="004332D7"/>
    <w:rsid w:val="004336E7"/>
    <w:rsid w:val="0049204B"/>
    <w:rsid w:val="004A3126"/>
    <w:rsid w:val="004E6497"/>
    <w:rsid w:val="00682808"/>
    <w:rsid w:val="006B23B1"/>
    <w:rsid w:val="00747DA7"/>
    <w:rsid w:val="007A46CE"/>
    <w:rsid w:val="007E6406"/>
    <w:rsid w:val="0080160B"/>
    <w:rsid w:val="00802E78"/>
    <w:rsid w:val="00812E57"/>
    <w:rsid w:val="008E2268"/>
    <w:rsid w:val="0092115A"/>
    <w:rsid w:val="0094219C"/>
    <w:rsid w:val="00AC2AF5"/>
    <w:rsid w:val="00B74C62"/>
    <w:rsid w:val="00B93ACC"/>
    <w:rsid w:val="00C539E0"/>
    <w:rsid w:val="00C94F3A"/>
    <w:rsid w:val="00CA7A05"/>
    <w:rsid w:val="00D440AE"/>
    <w:rsid w:val="00D76C6D"/>
    <w:rsid w:val="00DD3F8B"/>
    <w:rsid w:val="00DF65E4"/>
    <w:rsid w:val="00E13040"/>
    <w:rsid w:val="00E30206"/>
    <w:rsid w:val="00E31A6A"/>
    <w:rsid w:val="00E31BA0"/>
    <w:rsid w:val="00E97495"/>
    <w:rsid w:val="00EE00BF"/>
    <w:rsid w:val="00F428A4"/>
    <w:rsid w:val="00F74366"/>
    <w:rsid w:val="01CB731F"/>
    <w:rsid w:val="020A2568"/>
    <w:rsid w:val="02B80216"/>
    <w:rsid w:val="02D45B63"/>
    <w:rsid w:val="03115D8A"/>
    <w:rsid w:val="03767EB5"/>
    <w:rsid w:val="037E4FBC"/>
    <w:rsid w:val="03D92773"/>
    <w:rsid w:val="03F92894"/>
    <w:rsid w:val="04C335CE"/>
    <w:rsid w:val="04F35664"/>
    <w:rsid w:val="054144F3"/>
    <w:rsid w:val="06BC02D5"/>
    <w:rsid w:val="06CF18BF"/>
    <w:rsid w:val="06F1532C"/>
    <w:rsid w:val="07B92A66"/>
    <w:rsid w:val="08006362"/>
    <w:rsid w:val="08A76D63"/>
    <w:rsid w:val="08B14E92"/>
    <w:rsid w:val="08CB0CA3"/>
    <w:rsid w:val="09772BD9"/>
    <w:rsid w:val="0A206DCD"/>
    <w:rsid w:val="0A283789"/>
    <w:rsid w:val="0A3E36F7"/>
    <w:rsid w:val="0AF67B2D"/>
    <w:rsid w:val="0B4F7776"/>
    <w:rsid w:val="0B9179FD"/>
    <w:rsid w:val="0C2A7A8F"/>
    <w:rsid w:val="0C4F1BEB"/>
    <w:rsid w:val="0D5C45C0"/>
    <w:rsid w:val="0D755681"/>
    <w:rsid w:val="0DEC11A7"/>
    <w:rsid w:val="0E3A5181"/>
    <w:rsid w:val="0EE83C31"/>
    <w:rsid w:val="10523A58"/>
    <w:rsid w:val="11DC332A"/>
    <w:rsid w:val="120D5E88"/>
    <w:rsid w:val="12503489"/>
    <w:rsid w:val="12546A1A"/>
    <w:rsid w:val="125910CE"/>
    <w:rsid w:val="130628D8"/>
    <w:rsid w:val="13082AF4"/>
    <w:rsid w:val="13085B4B"/>
    <w:rsid w:val="134B3464"/>
    <w:rsid w:val="1376180B"/>
    <w:rsid w:val="14A06F53"/>
    <w:rsid w:val="15826B8D"/>
    <w:rsid w:val="15962639"/>
    <w:rsid w:val="159B7C4F"/>
    <w:rsid w:val="161B669A"/>
    <w:rsid w:val="1692287F"/>
    <w:rsid w:val="16985422"/>
    <w:rsid w:val="16CB534B"/>
    <w:rsid w:val="16E80C72"/>
    <w:rsid w:val="16FB7262"/>
    <w:rsid w:val="17AA23CB"/>
    <w:rsid w:val="17C214C3"/>
    <w:rsid w:val="17E458DD"/>
    <w:rsid w:val="18455C50"/>
    <w:rsid w:val="18597DC9"/>
    <w:rsid w:val="1869104F"/>
    <w:rsid w:val="190855FC"/>
    <w:rsid w:val="19F416DC"/>
    <w:rsid w:val="1A186D43"/>
    <w:rsid w:val="1A572145"/>
    <w:rsid w:val="1B136D91"/>
    <w:rsid w:val="1B46240B"/>
    <w:rsid w:val="1B8076CB"/>
    <w:rsid w:val="1B9067EB"/>
    <w:rsid w:val="1C744D56"/>
    <w:rsid w:val="1CA92C52"/>
    <w:rsid w:val="1DD51824"/>
    <w:rsid w:val="1DDA42C3"/>
    <w:rsid w:val="1DF32B31"/>
    <w:rsid w:val="1EC5324C"/>
    <w:rsid w:val="1EE610FD"/>
    <w:rsid w:val="20263926"/>
    <w:rsid w:val="206C6470"/>
    <w:rsid w:val="209D487B"/>
    <w:rsid w:val="20C95670"/>
    <w:rsid w:val="20DA5ACF"/>
    <w:rsid w:val="21431CCC"/>
    <w:rsid w:val="214747E7"/>
    <w:rsid w:val="215869F4"/>
    <w:rsid w:val="21BE59AC"/>
    <w:rsid w:val="21BF26D7"/>
    <w:rsid w:val="225A4BD9"/>
    <w:rsid w:val="2366364A"/>
    <w:rsid w:val="23C33115"/>
    <w:rsid w:val="24AC569A"/>
    <w:rsid w:val="24CD2D88"/>
    <w:rsid w:val="25136C23"/>
    <w:rsid w:val="278C389C"/>
    <w:rsid w:val="27D843EB"/>
    <w:rsid w:val="28233CAE"/>
    <w:rsid w:val="28EA53BD"/>
    <w:rsid w:val="29546AB6"/>
    <w:rsid w:val="298731A5"/>
    <w:rsid w:val="29A77EC5"/>
    <w:rsid w:val="29AB1DA9"/>
    <w:rsid w:val="2A9E3073"/>
    <w:rsid w:val="2ACD0453"/>
    <w:rsid w:val="2B5B780D"/>
    <w:rsid w:val="2BE05F64"/>
    <w:rsid w:val="2C815051"/>
    <w:rsid w:val="2CBB6EF5"/>
    <w:rsid w:val="2CDD77DB"/>
    <w:rsid w:val="2D59056D"/>
    <w:rsid w:val="2D8A43D9"/>
    <w:rsid w:val="2DF87595"/>
    <w:rsid w:val="2E0742CA"/>
    <w:rsid w:val="2E30155E"/>
    <w:rsid w:val="2ED94190"/>
    <w:rsid w:val="2F66436B"/>
    <w:rsid w:val="2F6A2714"/>
    <w:rsid w:val="309C4B4F"/>
    <w:rsid w:val="30D065A7"/>
    <w:rsid w:val="31660CB9"/>
    <w:rsid w:val="31837648"/>
    <w:rsid w:val="31C75FFD"/>
    <w:rsid w:val="32245A6A"/>
    <w:rsid w:val="327E589A"/>
    <w:rsid w:val="32E2566C"/>
    <w:rsid w:val="33092244"/>
    <w:rsid w:val="33114C55"/>
    <w:rsid w:val="332E3A59"/>
    <w:rsid w:val="34AB66CA"/>
    <w:rsid w:val="34D139D0"/>
    <w:rsid w:val="34F12F90"/>
    <w:rsid w:val="35185E44"/>
    <w:rsid w:val="35D73F34"/>
    <w:rsid w:val="36421CF5"/>
    <w:rsid w:val="374638F7"/>
    <w:rsid w:val="374D2A75"/>
    <w:rsid w:val="376932B2"/>
    <w:rsid w:val="37B159B2"/>
    <w:rsid w:val="384D672F"/>
    <w:rsid w:val="38BB5D8F"/>
    <w:rsid w:val="38E80709"/>
    <w:rsid w:val="39373780"/>
    <w:rsid w:val="39384D83"/>
    <w:rsid w:val="39FF52AE"/>
    <w:rsid w:val="3A332F74"/>
    <w:rsid w:val="3A407121"/>
    <w:rsid w:val="3B556027"/>
    <w:rsid w:val="3B7E2F1A"/>
    <w:rsid w:val="3C6F237E"/>
    <w:rsid w:val="3CB66F99"/>
    <w:rsid w:val="3D422139"/>
    <w:rsid w:val="3DFB4064"/>
    <w:rsid w:val="3EB74965"/>
    <w:rsid w:val="401E6955"/>
    <w:rsid w:val="40844CB8"/>
    <w:rsid w:val="40AA6D72"/>
    <w:rsid w:val="40B97058"/>
    <w:rsid w:val="40CB4E62"/>
    <w:rsid w:val="41410DFB"/>
    <w:rsid w:val="416C16AB"/>
    <w:rsid w:val="421C5915"/>
    <w:rsid w:val="426E79CE"/>
    <w:rsid w:val="42B00182"/>
    <w:rsid w:val="42B17F68"/>
    <w:rsid w:val="43234C5C"/>
    <w:rsid w:val="436110BB"/>
    <w:rsid w:val="43E268C5"/>
    <w:rsid w:val="443552D4"/>
    <w:rsid w:val="44CE0BF8"/>
    <w:rsid w:val="459B31D0"/>
    <w:rsid w:val="460828DC"/>
    <w:rsid w:val="4642189D"/>
    <w:rsid w:val="46BE3ECA"/>
    <w:rsid w:val="4737441D"/>
    <w:rsid w:val="476475F1"/>
    <w:rsid w:val="48297A93"/>
    <w:rsid w:val="4881611D"/>
    <w:rsid w:val="4885562E"/>
    <w:rsid w:val="48DA400F"/>
    <w:rsid w:val="49180D12"/>
    <w:rsid w:val="4953791E"/>
    <w:rsid w:val="49865F45"/>
    <w:rsid w:val="4AB34B18"/>
    <w:rsid w:val="4B180331"/>
    <w:rsid w:val="4BF076A6"/>
    <w:rsid w:val="4C431ECB"/>
    <w:rsid w:val="4CAF7561"/>
    <w:rsid w:val="4CF136D5"/>
    <w:rsid w:val="4D3312D9"/>
    <w:rsid w:val="4D434791"/>
    <w:rsid w:val="4D51472A"/>
    <w:rsid w:val="4D52686A"/>
    <w:rsid w:val="4EEA02CE"/>
    <w:rsid w:val="4F690B65"/>
    <w:rsid w:val="4F697E9B"/>
    <w:rsid w:val="4FAE58AE"/>
    <w:rsid w:val="4FE63299"/>
    <w:rsid w:val="500850DB"/>
    <w:rsid w:val="50812FC2"/>
    <w:rsid w:val="50A4305F"/>
    <w:rsid w:val="50C335DB"/>
    <w:rsid w:val="510A53F0"/>
    <w:rsid w:val="51177970"/>
    <w:rsid w:val="51353BDB"/>
    <w:rsid w:val="51601795"/>
    <w:rsid w:val="51F31BF8"/>
    <w:rsid w:val="526D7CA2"/>
    <w:rsid w:val="531C6FD2"/>
    <w:rsid w:val="536A41E2"/>
    <w:rsid w:val="53B9596A"/>
    <w:rsid w:val="54063A05"/>
    <w:rsid w:val="546412FA"/>
    <w:rsid w:val="556C6760"/>
    <w:rsid w:val="55886BA1"/>
    <w:rsid w:val="56004989"/>
    <w:rsid w:val="56AD1B5D"/>
    <w:rsid w:val="56C836F9"/>
    <w:rsid w:val="574F69C7"/>
    <w:rsid w:val="57776ECD"/>
    <w:rsid w:val="57F070BA"/>
    <w:rsid w:val="581E3BB2"/>
    <w:rsid w:val="585B234B"/>
    <w:rsid w:val="58D41333"/>
    <w:rsid w:val="5978558C"/>
    <w:rsid w:val="5B296730"/>
    <w:rsid w:val="5B8D4F11"/>
    <w:rsid w:val="5BC621D1"/>
    <w:rsid w:val="5BDE7D36"/>
    <w:rsid w:val="5BE17161"/>
    <w:rsid w:val="5C4D7D2F"/>
    <w:rsid w:val="5C66259D"/>
    <w:rsid w:val="5CE96177"/>
    <w:rsid w:val="5CF07506"/>
    <w:rsid w:val="5D0D0996"/>
    <w:rsid w:val="5DE227A1"/>
    <w:rsid w:val="5E331093"/>
    <w:rsid w:val="5E4F4700"/>
    <w:rsid w:val="5E875C48"/>
    <w:rsid w:val="5FB909C7"/>
    <w:rsid w:val="602D1E31"/>
    <w:rsid w:val="616E30EF"/>
    <w:rsid w:val="62D172D1"/>
    <w:rsid w:val="63273355"/>
    <w:rsid w:val="63AF6C30"/>
    <w:rsid w:val="63D23E09"/>
    <w:rsid w:val="64DB0A9B"/>
    <w:rsid w:val="64EE6A20"/>
    <w:rsid w:val="6532470C"/>
    <w:rsid w:val="65452ECC"/>
    <w:rsid w:val="655751B0"/>
    <w:rsid w:val="657475C5"/>
    <w:rsid w:val="6594799A"/>
    <w:rsid w:val="6666167A"/>
    <w:rsid w:val="666A2D74"/>
    <w:rsid w:val="66723681"/>
    <w:rsid w:val="667411A7"/>
    <w:rsid w:val="66F342F1"/>
    <w:rsid w:val="6764121C"/>
    <w:rsid w:val="67915D89"/>
    <w:rsid w:val="67FB4030"/>
    <w:rsid w:val="68580655"/>
    <w:rsid w:val="68721717"/>
    <w:rsid w:val="6A4B68EB"/>
    <w:rsid w:val="6A64143E"/>
    <w:rsid w:val="6BB07054"/>
    <w:rsid w:val="6BDB3A77"/>
    <w:rsid w:val="6C727253"/>
    <w:rsid w:val="6C97174C"/>
    <w:rsid w:val="6C9A123C"/>
    <w:rsid w:val="6E645FA5"/>
    <w:rsid w:val="6FDC3518"/>
    <w:rsid w:val="6FE86762"/>
    <w:rsid w:val="70BA0CCA"/>
    <w:rsid w:val="70CC1BE0"/>
    <w:rsid w:val="7148395C"/>
    <w:rsid w:val="72360EF7"/>
    <w:rsid w:val="72606A84"/>
    <w:rsid w:val="72681F13"/>
    <w:rsid w:val="72CC5EC7"/>
    <w:rsid w:val="7306762B"/>
    <w:rsid w:val="73206456"/>
    <w:rsid w:val="737046A4"/>
    <w:rsid w:val="74075D58"/>
    <w:rsid w:val="742C5391"/>
    <w:rsid w:val="75B07C63"/>
    <w:rsid w:val="75CA0DE4"/>
    <w:rsid w:val="75FB71EF"/>
    <w:rsid w:val="76791AEC"/>
    <w:rsid w:val="76946C1D"/>
    <w:rsid w:val="773D0604"/>
    <w:rsid w:val="794C1B10"/>
    <w:rsid w:val="79764DDF"/>
    <w:rsid w:val="799A287B"/>
    <w:rsid w:val="79EC78D0"/>
    <w:rsid w:val="7A94376E"/>
    <w:rsid w:val="7B1B473B"/>
    <w:rsid w:val="7B9A422A"/>
    <w:rsid w:val="7C684EB3"/>
    <w:rsid w:val="7CD73DE6"/>
    <w:rsid w:val="7D4C20DE"/>
    <w:rsid w:val="7D8717B0"/>
    <w:rsid w:val="7D8D468F"/>
    <w:rsid w:val="7DE71E07"/>
    <w:rsid w:val="7E1626EC"/>
    <w:rsid w:val="7E88416C"/>
    <w:rsid w:val="7EB544BC"/>
    <w:rsid w:val="7F4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1956</Words>
  <Characters>2067</Characters>
  <Lines>15</Lines>
  <Paragraphs>4</Paragraphs>
  <TotalTime>45</TotalTime>
  <ScaleCrop>false</ScaleCrop>
  <LinksUpToDate>false</LinksUpToDate>
  <CharactersWithSpaces>2086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2018-04-12T03:17:00Z</dcterms:created>
  <dc:creator>lzh</dc:creator>
  <cp:lastModifiedBy>烧饵块的烦恼(･´з`･)</cp:lastModifiedBy>
  <dcterms:modified xsi:type="dcterms:W3CDTF">2023-04-04T06:35:33Z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AA72F48A81BA4CBDB1E4AC65556ED30E</vt:lpwstr>
  </property>
</Properties>
</file>