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eastAsia="方正小标宋_GBK"/>
          <w:sz w:val="36"/>
          <w:szCs w:val="36"/>
          <w:lang w:val="en-US" w:eastAsia="zh-CN"/>
        </w:rPr>
      </w:pPr>
      <w:r>
        <w:rPr>
          <w:rFonts w:hint="eastAsia" w:ascii="方正小标宋_GBK" w:eastAsia="方正小标宋_GBK"/>
          <w:sz w:val="36"/>
          <w:szCs w:val="36"/>
        </w:rPr>
        <w:t>昆明市呈贡区</w:t>
      </w:r>
      <w:r>
        <w:rPr>
          <w:rFonts w:hint="eastAsia" w:ascii="方正小标宋_GBK" w:eastAsia="方正小标宋_GBK"/>
          <w:sz w:val="36"/>
          <w:szCs w:val="36"/>
          <w:lang w:val="en-US" w:eastAsia="zh-CN"/>
        </w:rPr>
        <w:t>住房和城乡建设局</w:t>
      </w:r>
    </w:p>
    <w:p>
      <w:pPr>
        <w:spacing w:line="600" w:lineRule="exact"/>
        <w:jc w:val="center"/>
        <w:rPr>
          <w:rFonts w:ascii="方正小标宋_GBK" w:eastAsia="方正小标宋_GBK"/>
          <w:sz w:val="36"/>
          <w:szCs w:val="36"/>
        </w:rPr>
      </w:pPr>
      <w:r>
        <w:rPr>
          <w:rFonts w:hint="eastAsia" w:ascii="方正小标宋_GBK" w:eastAsia="方正小标宋_GBK"/>
          <w:sz w:val="36"/>
          <w:szCs w:val="36"/>
        </w:rPr>
        <w:t>20</w:t>
      </w:r>
      <w:r>
        <w:rPr>
          <w:rFonts w:hint="eastAsia" w:ascii="方正小标宋_GBK" w:eastAsia="方正小标宋_GBK"/>
          <w:sz w:val="36"/>
          <w:szCs w:val="36"/>
          <w:lang w:val="en-US" w:eastAsia="zh-CN"/>
        </w:rPr>
        <w:t>22</w:t>
      </w:r>
      <w:r>
        <w:rPr>
          <w:rFonts w:hint="eastAsia" w:ascii="方正小标宋_GBK" w:eastAsia="方正小标宋_GBK"/>
          <w:sz w:val="36"/>
          <w:szCs w:val="36"/>
        </w:rPr>
        <w:t>年</w:t>
      </w:r>
      <w:r>
        <w:rPr>
          <w:rFonts w:hint="eastAsia" w:ascii="方正小标宋_GBK" w:eastAsia="方正小标宋_GBK"/>
          <w:sz w:val="36"/>
          <w:szCs w:val="36"/>
          <w:lang w:val="en-US" w:eastAsia="zh-CN"/>
        </w:rPr>
        <w:t>市政道路、桥梁、市政设施维护管养</w:t>
      </w:r>
    </w:p>
    <w:p>
      <w:pPr>
        <w:spacing w:line="600" w:lineRule="exact"/>
        <w:jc w:val="center"/>
        <w:rPr>
          <w:rFonts w:hint="eastAsia" w:ascii="方正小标宋_GBK" w:hAnsi="Times New Roman" w:eastAsia="方正小标宋_GBK" w:cs="Times New Roman"/>
          <w:sz w:val="36"/>
          <w:szCs w:val="36"/>
        </w:rPr>
      </w:pPr>
      <w:r>
        <w:rPr>
          <w:rFonts w:hint="eastAsia" w:ascii="方正小标宋_GBK" w:hAnsi="Times New Roman" w:eastAsia="方正小标宋_GBK" w:cs="Times New Roman"/>
          <w:sz w:val="36"/>
          <w:szCs w:val="36"/>
        </w:rPr>
        <w:t>项目支出绩效评价报告</w:t>
      </w:r>
    </w:p>
    <w:p>
      <w:pPr>
        <w:jc w:val="center"/>
        <w:rPr>
          <w:rFonts w:ascii="仿宋_GB2312"/>
          <w:b/>
          <w:bCs/>
          <w:szCs w:val="32"/>
        </w:rPr>
      </w:pPr>
    </w:p>
    <w:p>
      <w:pPr>
        <w:ind w:firstLine="600" w:firstLineChars="200"/>
        <w:outlineLvl w:val="0"/>
        <w:rPr>
          <w:rFonts w:hint="eastAsia" w:ascii="仿宋_GB2312" w:hAnsi="Times New Roman" w:cs="Times New Roman"/>
          <w:b/>
          <w:bCs/>
          <w:szCs w:val="32"/>
        </w:rPr>
      </w:pPr>
      <w:r>
        <w:rPr>
          <w:rFonts w:hint="eastAsia" w:ascii="仿宋_GB2312" w:hAnsi="Times New Roman" w:cs="Times New Roman"/>
          <w:b/>
          <w:bCs/>
          <w:szCs w:val="32"/>
        </w:rPr>
        <w:t>一、基本情况</w:t>
      </w:r>
    </w:p>
    <w:p>
      <w:pPr>
        <w:ind w:firstLine="600" w:firstLineChars="200"/>
        <w:outlineLvl w:val="0"/>
        <w:rPr>
          <w:rFonts w:hint="eastAsia" w:ascii="仿宋_GB2312" w:hAnsi="Times New Roman" w:cs="Times New Roman"/>
          <w:szCs w:val="32"/>
        </w:rPr>
      </w:pPr>
      <w:r>
        <w:rPr>
          <w:rFonts w:hint="eastAsia" w:ascii="仿宋_GB2312" w:hAnsi="Times New Roman" w:cs="Times New Roman"/>
          <w:szCs w:val="32"/>
        </w:rPr>
        <w:t>（一）项目概况</w:t>
      </w:r>
    </w:p>
    <w:p>
      <w:pPr>
        <w:ind w:firstLine="600" w:firstLineChars="200"/>
        <w:outlineLvl w:val="0"/>
        <w:rPr>
          <w:rFonts w:hint="eastAsia" w:ascii="仿宋_GB2312" w:hAnsi="Times New Roman" w:cs="Times New Roman"/>
          <w:szCs w:val="32"/>
          <w:lang w:val="en-US" w:eastAsia="zh-CN"/>
        </w:rPr>
      </w:pPr>
      <w:r>
        <w:rPr>
          <w:rFonts w:hint="eastAsia" w:ascii="仿宋_GB2312" w:hAnsi="Times New Roman" w:cs="Times New Roman"/>
          <w:szCs w:val="32"/>
        </w:rPr>
        <w:t>项目基本情</w:t>
      </w:r>
      <w:r>
        <w:rPr>
          <w:rFonts w:hint="eastAsia" w:ascii="仿宋_GB2312" w:hAnsi="Times New Roman" w:cs="Times New Roman"/>
          <w:szCs w:val="32"/>
          <w:lang w:eastAsia="zh-CN"/>
        </w:rPr>
        <w:t>况：</w:t>
      </w:r>
      <w:r>
        <w:rPr>
          <w:rFonts w:hint="eastAsia" w:ascii="仿宋_GB2312" w:hAnsi="Times New Roman" w:cs="Times New Roman"/>
          <w:szCs w:val="32"/>
        </w:rPr>
        <w:t>昆明市呈贡区</w:t>
      </w:r>
      <w:r>
        <w:rPr>
          <w:rFonts w:hint="eastAsia" w:ascii="仿宋_GB2312" w:hAnsi="Times New Roman" w:cs="Times New Roman"/>
          <w:szCs w:val="32"/>
          <w:lang w:val="en-US" w:eastAsia="zh-CN"/>
        </w:rPr>
        <w:t>住房和城乡建设局</w:t>
      </w:r>
      <w:r>
        <w:rPr>
          <w:rFonts w:hint="eastAsia" w:ascii="仿宋_GB2312" w:hAnsi="Times New Roman" w:cs="Times New Roman"/>
          <w:szCs w:val="32"/>
        </w:rPr>
        <w:t>20</w:t>
      </w:r>
      <w:r>
        <w:rPr>
          <w:rFonts w:hint="eastAsia" w:ascii="仿宋_GB2312" w:hAnsi="Times New Roman" w:cs="Times New Roman"/>
          <w:szCs w:val="32"/>
          <w:lang w:val="en-US" w:eastAsia="zh-CN"/>
        </w:rPr>
        <w:t>2</w:t>
      </w:r>
      <w:r>
        <w:rPr>
          <w:rFonts w:hint="default" w:ascii="仿宋_GB2312" w:hAnsi="Times New Roman" w:cs="Times New Roman"/>
          <w:szCs w:val="32"/>
          <w:lang w:val="en" w:eastAsia="zh-CN"/>
        </w:rPr>
        <w:t>2</w:t>
      </w:r>
      <w:r>
        <w:rPr>
          <w:rFonts w:hint="eastAsia" w:ascii="仿宋_GB2312" w:hAnsi="Times New Roman" w:cs="Times New Roman"/>
          <w:szCs w:val="32"/>
        </w:rPr>
        <w:t>年</w:t>
      </w:r>
      <w:r>
        <w:rPr>
          <w:rFonts w:hint="eastAsia" w:ascii="仿宋_GB2312" w:hAnsi="Times New Roman" w:cs="Times New Roman"/>
          <w:szCs w:val="32"/>
          <w:lang w:val="en-US" w:eastAsia="zh-CN"/>
        </w:rPr>
        <w:t>市政道路、桥梁、市政设施维护管养</w:t>
      </w:r>
      <w:r>
        <w:rPr>
          <w:rFonts w:hint="eastAsia" w:ascii="仿宋_GB2312" w:hAnsi="Times New Roman" w:cs="Times New Roman"/>
          <w:szCs w:val="32"/>
        </w:rPr>
        <w:t>项目</w:t>
      </w:r>
      <w:r>
        <w:rPr>
          <w:rFonts w:hint="eastAsia" w:ascii="仿宋_GB2312" w:hAnsi="Times New Roman" w:cs="Times New Roman"/>
          <w:szCs w:val="32"/>
          <w:lang w:val="en-US" w:eastAsia="zh-CN"/>
        </w:rPr>
        <w:t>专项经费主要内容为</w:t>
      </w:r>
      <w:r>
        <w:rPr>
          <w:rFonts w:hint="eastAsia" w:ascii="仿宋_GB2312" w:hAnsi="Times New Roman" w:cs="Times New Roman"/>
          <w:szCs w:val="32"/>
          <w:lang w:eastAsia="zh-CN"/>
        </w:rPr>
        <w:t>：</w:t>
      </w:r>
      <w:r>
        <w:rPr>
          <w:rFonts w:hint="eastAsia" w:ascii="仿宋_GB2312" w:hAnsi="Times New Roman" w:cs="Times New Roman"/>
          <w:szCs w:val="32"/>
          <w:lang w:val="en-US" w:eastAsia="zh-CN"/>
        </w:rPr>
        <w:t>为完成辖区内道路、桥梁、人行道、市政基础设施设置、管养维护任务，对网格中心派遣案件进行处置，</w:t>
      </w:r>
      <w:r>
        <w:rPr>
          <w:rFonts w:hint="eastAsia" w:ascii="仿宋_GB2312" w:hAnsi="Times New Roman" w:cs="Times New Roman"/>
          <w:szCs w:val="32"/>
        </w:rPr>
        <w:t>道路、桥梁管养造价咨询</w:t>
      </w:r>
      <w:r>
        <w:rPr>
          <w:rFonts w:hint="eastAsia" w:ascii="仿宋_GB2312" w:hAnsi="Times New Roman" w:cs="Times New Roman"/>
          <w:szCs w:val="32"/>
          <w:lang w:eastAsia="zh-CN"/>
        </w:rPr>
        <w:t>、</w:t>
      </w:r>
      <w:r>
        <w:rPr>
          <w:rFonts w:hint="eastAsia" w:ascii="仿宋_GB2312" w:hAnsi="Times New Roman" w:cs="Times New Roman"/>
          <w:szCs w:val="32"/>
        </w:rPr>
        <w:t>监理服务费、桥梁（隧道）安全检测经费</w:t>
      </w:r>
      <w:r>
        <w:rPr>
          <w:rFonts w:hint="eastAsia" w:ascii="仿宋_GB2312" w:hAnsi="Times New Roman" w:cs="Times New Roman"/>
          <w:szCs w:val="32"/>
          <w:lang w:eastAsia="zh-CN"/>
        </w:rPr>
        <w:t>、</w:t>
      </w:r>
      <w:r>
        <w:rPr>
          <w:rFonts w:hint="eastAsia" w:ascii="仿宋_GB2312" w:hAnsi="Times New Roman" w:cs="Times New Roman"/>
          <w:szCs w:val="32"/>
        </w:rPr>
        <w:t>办公</w:t>
      </w:r>
      <w:r>
        <w:rPr>
          <w:rFonts w:hint="eastAsia" w:ascii="仿宋_GB2312" w:hAnsi="Times New Roman" w:cs="Times New Roman"/>
          <w:szCs w:val="32"/>
          <w:lang w:val="en-US" w:eastAsia="zh-CN"/>
        </w:rPr>
        <w:t>经</w:t>
      </w:r>
      <w:r>
        <w:rPr>
          <w:rFonts w:hint="eastAsia" w:ascii="仿宋_GB2312" w:hAnsi="Times New Roman" w:cs="Times New Roman"/>
          <w:szCs w:val="32"/>
        </w:rPr>
        <w:t>费</w:t>
      </w:r>
      <w:r>
        <w:rPr>
          <w:rFonts w:hint="eastAsia" w:ascii="仿宋_GB2312" w:hAnsi="Times New Roman" w:cs="Times New Roman"/>
          <w:szCs w:val="32"/>
          <w:lang w:val="en-US" w:eastAsia="zh-CN"/>
        </w:rPr>
        <w:t>及水电费。</w:t>
      </w:r>
    </w:p>
    <w:p>
      <w:pPr>
        <w:ind w:firstLine="600" w:firstLineChars="200"/>
        <w:outlineLvl w:val="0"/>
        <w:rPr>
          <w:rFonts w:hint="eastAsia" w:ascii="仿宋_GB2312" w:hAnsi="Times New Roman" w:cs="Times New Roman"/>
          <w:szCs w:val="32"/>
          <w:lang w:val="en-US" w:eastAsia="zh-CN"/>
        </w:rPr>
      </w:pPr>
      <w:r>
        <w:rPr>
          <w:rFonts w:hint="eastAsia" w:ascii="仿宋_GB2312" w:hAnsi="Times New Roman" w:cs="Times New Roman"/>
          <w:szCs w:val="32"/>
        </w:rPr>
        <w:t>主要</w:t>
      </w:r>
      <w:r>
        <w:rPr>
          <w:rFonts w:hint="eastAsia" w:ascii="仿宋_GB2312" w:hAnsi="Times New Roman" w:cs="Times New Roman"/>
          <w:szCs w:val="32"/>
          <w:lang w:val="en-US" w:eastAsia="zh-CN"/>
        </w:rPr>
        <w:t>职责</w:t>
      </w:r>
      <w:r>
        <w:rPr>
          <w:rFonts w:hint="eastAsia" w:ascii="仿宋_GB2312" w:cs="Times New Roman"/>
          <w:szCs w:val="32"/>
          <w:lang w:val="en-US" w:eastAsia="zh-CN"/>
        </w:rPr>
        <w:t>为</w:t>
      </w:r>
      <w:r>
        <w:rPr>
          <w:rFonts w:hint="eastAsia" w:ascii="仿宋_GB2312" w:hAnsi="Times New Roman" w:cs="Times New Roman"/>
          <w:szCs w:val="32"/>
          <w:lang w:val="en-US" w:eastAsia="zh-CN"/>
        </w:rPr>
        <w:t>严格按照《城镇道路养护技术规范》（CJJ 36-2016）、《城市桥梁养护技术标准》（CJJ 99-2017）、《昆明市城市道路管理条例》、昆明市住房和城乡建设局、昆明市城市管理局、昆明市交通运输局、昆明市网格化综合监督指挥中心《关于下发&lt;关于提升城市道路管理维护工作的方案&gt;的通知》（昆建通〔2021〕242号）等相关规范、规定与相关要求，提升城市道路管理维护工作，切实提高城市道路精细化管理维护水平，确保辖区城市道路平坦通畅，道路、桥梁（隧道）运行情况良好。目前在管城市道路长度约170公里，面积约594万平方米，桥梁49座，隧道6座。</w:t>
      </w:r>
    </w:p>
    <w:p>
      <w:pPr>
        <w:ind w:firstLine="600" w:firstLineChars="200"/>
        <w:outlineLvl w:val="0"/>
        <w:rPr>
          <w:rFonts w:hint="eastAsia" w:ascii="仿宋_GB2312" w:hAnsi="Times New Roman" w:cs="Times New Roman"/>
          <w:szCs w:val="32"/>
        </w:rPr>
      </w:pPr>
      <w:r>
        <w:rPr>
          <w:rFonts w:hint="eastAsia" w:ascii="仿宋_GB2312" w:hAnsi="Times New Roman" w:cs="Times New Roman"/>
          <w:szCs w:val="32"/>
          <w:lang w:val="en-US" w:eastAsia="zh-CN"/>
        </w:rPr>
        <w:t xml:space="preserve"> </w:t>
      </w:r>
      <w:r>
        <w:rPr>
          <w:rFonts w:hint="eastAsia" w:ascii="仿宋_GB2312" w:hAnsi="Times New Roman" w:cs="Times New Roman"/>
          <w:szCs w:val="32"/>
        </w:rPr>
        <w:t>（二）项目绩效目标</w:t>
      </w:r>
    </w:p>
    <w:p>
      <w:pPr>
        <w:ind w:firstLine="600" w:firstLineChars="200"/>
        <w:outlineLvl w:val="0"/>
        <w:rPr>
          <w:rFonts w:hint="eastAsia" w:ascii="仿宋_GB2312" w:hAnsi="Times New Roman" w:cs="Times New Roman"/>
          <w:szCs w:val="32"/>
          <w:lang w:eastAsia="zh-CN"/>
        </w:rPr>
      </w:pPr>
      <w:r>
        <w:rPr>
          <w:rFonts w:hint="eastAsia" w:ascii="仿宋_GB2312" w:hAnsi="Times New Roman" w:cs="Times New Roman"/>
          <w:szCs w:val="32"/>
          <w:lang w:val="en-US" w:eastAsia="zh-CN"/>
        </w:rPr>
        <w:t>1、项目绩效总目标。</w:t>
      </w:r>
      <w:r>
        <w:rPr>
          <w:rFonts w:hint="eastAsia" w:ascii="仿宋_GB2312" w:hAnsi="Times New Roman" w:cs="Times New Roman"/>
          <w:szCs w:val="32"/>
        </w:rPr>
        <w:t>按照国家和地方建设法规、标准、政策、方针规定，</w:t>
      </w:r>
      <w:r>
        <w:rPr>
          <w:rFonts w:hint="eastAsia" w:ascii="仿宋_GB2312" w:hAnsi="Times New Roman" w:cs="Times New Roman"/>
          <w:szCs w:val="32"/>
          <w:lang w:val="en-US" w:eastAsia="zh-CN"/>
        </w:rPr>
        <w:t>开展道路、桥梁（隧道）管理维护工作</w:t>
      </w:r>
      <w:r>
        <w:rPr>
          <w:rFonts w:hint="eastAsia" w:ascii="仿宋_GB2312" w:cs="Times New Roman"/>
          <w:szCs w:val="32"/>
          <w:lang w:val="en-US" w:eastAsia="zh-CN"/>
        </w:rPr>
        <w:t>，</w:t>
      </w:r>
      <w:r>
        <w:rPr>
          <w:rFonts w:hint="eastAsia" w:ascii="仿宋_GB2312" w:cs="Times New Roman"/>
          <w:szCs w:val="32"/>
          <w:lang w:eastAsia="zh-CN"/>
        </w:rPr>
        <w:t>保障</w:t>
      </w:r>
      <w:r>
        <w:rPr>
          <w:rFonts w:hint="eastAsia" w:ascii="仿宋_GB2312" w:hAnsi="Times New Roman" w:cs="Times New Roman"/>
          <w:szCs w:val="32"/>
          <w:lang w:val="en-US" w:eastAsia="zh-CN"/>
        </w:rPr>
        <w:t>辖区</w:t>
      </w:r>
      <w:r>
        <w:rPr>
          <w:rFonts w:hint="eastAsia" w:ascii="仿宋_GB2312" w:cs="Times New Roman"/>
          <w:szCs w:val="32"/>
          <w:lang w:val="en-US" w:eastAsia="zh-CN"/>
        </w:rPr>
        <w:t>内</w:t>
      </w:r>
      <w:r>
        <w:rPr>
          <w:rFonts w:hint="eastAsia" w:ascii="仿宋_GB2312" w:hAnsi="Times New Roman" w:cs="Times New Roman"/>
          <w:szCs w:val="32"/>
          <w:lang w:val="en-US" w:eastAsia="zh-CN"/>
        </w:rPr>
        <w:t>城市道路平坦通畅，道路、桥梁（隧道）运行情况良好。</w:t>
      </w:r>
    </w:p>
    <w:p>
      <w:pPr>
        <w:ind w:firstLine="600" w:firstLineChars="200"/>
        <w:outlineLvl w:val="0"/>
        <w:rPr>
          <w:rFonts w:hint="eastAsia" w:ascii="仿宋_GB2312" w:hAnsi="Times New Roman" w:cs="Times New Roman"/>
          <w:szCs w:val="32"/>
          <w:lang w:val="en-US" w:eastAsia="zh-CN"/>
        </w:rPr>
      </w:pPr>
      <w:r>
        <w:rPr>
          <w:rFonts w:hint="eastAsia" w:ascii="仿宋_GB2312" w:hAnsi="Times New Roman" w:cs="Times New Roman"/>
          <w:szCs w:val="32"/>
          <w:lang w:val="en-US" w:eastAsia="zh-CN"/>
        </w:rPr>
        <w:t>2、项目绩效阶段性目标。目前在管城市道路长度约170公里，面积约594万平方米，桥梁49座，隧道6座。按照《城镇道路养护技术规范》（CJJ 36-2016）、《城市桥梁养护技术标准》（CJJ 99-2017）、《昆明市城市道路管理条例》、昆明市住房和城乡建设局、昆明市城市管理局、昆明市交通运输局、昆明市网格化综合监督指挥中心《关于下发&lt;关于提升城市道路管理维护工作的方案&gt;的通知》（昆建通〔2021〕242号）等相关规范、规定与相关要求，提升城市道路管理维护工作，切实提高城市道路精细化管理维护水平，确保辖区城市道路平坦通畅，道路、桥梁（隧道）运行情况良好。</w:t>
      </w:r>
    </w:p>
    <w:p>
      <w:pPr>
        <w:ind w:firstLine="600" w:firstLineChars="200"/>
        <w:outlineLvl w:val="0"/>
        <w:rPr>
          <w:rFonts w:hint="eastAsia" w:ascii="仿宋_GB2312" w:hAnsi="Times New Roman" w:cs="Times New Roman"/>
          <w:b/>
          <w:bCs/>
          <w:szCs w:val="32"/>
        </w:rPr>
      </w:pPr>
      <w:r>
        <w:rPr>
          <w:rFonts w:hint="eastAsia" w:ascii="仿宋_GB2312" w:hAnsi="Times New Roman" w:cs="Times New Roman"/>
          <w:b/>
          <w:bCs/>
          <w:szCs w:val="32"/>
          <w:lang w:val="en-US" w:eastAsia="zh-CN"/>
        </w:rPr>
        <w:t>二、</w:t>
      </w:r>
      <w:r>
        <w:rPr>
          <w:rFonts w:hint="eastAsia" w:ascii="仿宋_GB2312" w:hAnsi="Times New Roman" w:cs="Times New Roman"/>
          <w:b/>
          <w:bCs/>
          <w:szCs w:val="32"/>
        </w:rPr>
        <w:t>项目单位绩效报告情况</w:t>
      </w:r>
    </w:p>
    <w:p>
      <w:pPr>
        <w:ind w:firstLine="600" w:firstLineChars="200"/>
        <w:outlineLvl w:val="0"/>
        <w:rPr>
          <w:rFonts w:hint="default" w:ascii="仿宋_GB2312" w:hAnsi="Times New Roman" w:cs="Times New Roman"/>
          <w:szCs w:val="32"/>
          <w:lang w:val="en-US" w:eastAsia="zh-CN"/>
        </w:rPr>
      </w:pPr>
      <w:r>
        <w:rPr>
          <w:rFonts w:hint="eastAsia" w:ascii="仿宋_GB2312" w:hAnsi="Times New Roman" w:cs="Times New Roman"/>
          <w:szCs w:val="32"/>
          <w:lang w:val="en-US" w:eastAsia="zh-CN"/>
        </w:rPr>
        <w:t xml:space="preserve"> </w:t>
      </w:r>
      <w:r>
        <w:rPr>
          <w:rFonts w:hint="eastAsia" w:ascii="仿宋" w:hAnsi="仿宋" w:eastAsia="仿宋" w:cs="Times New Roman"/>
          <w:color w:val="auto"/>
          <w:szCs w:val="32"/>
        </w:rPr>
        <w:t>根据《昆明市呈贡区财政局关于批复</w:t>
      </w:r>
      <w:r>
        <w:rPr>
          <w:rFonts w:ascii="仿宋" w:hAnsi="仿宋" w:eastAsia="仿宋" w:cs="Times New Roman"/>
          <w:color w:val="auto"/>
          <w:szCs w:val="32"/>
        </w:rPr>
        <w:t>20</w:t>
      </w:r>
      <w:r>
        <w:rPr>
          <w:rFonts w:hint="eastAsia" w:ascii="仿宋" w:hAnsi="仿宋" w:eastAsia="仿宋" w:cs="Times New Roman"/>
          <w:color w:val="auto"/>
          <w:szCs w:val="32"/>
          <w:lang w:val="en-US" w:eastAsia="zh-CN"/>
        </w:rPr>
        <w:t>22</w:t>
      </w:r>
      <w:r>
        <w:rPr>
          <w:rFonts w:hint="eastAsia" w:ascii="仿宋" w:hAnsi="仿宋" w:eastAsia="仿宋" w:cs="Times New Roman"/>
          <w:color w:val="auto"/>
          <w:szCs w:val="32"/>
        </w:rPr>
        <w:t>年部门预算的通知》（呈财</w:t>
      </w:r>
      <w:r>
        <w:rPr>
          <w:rFonts w:hint="eastAsia" w:ascii="仿宋" w:hAnsi="仿宋" w:eastAsia="仿宋" w:cs="Times New Roman"/>
          <w:color w:val="auto"/>
          <w:szCs w:val="32"/>
          <w:lang w:eastAsia="zh-CN"/>
        </w:rPr>
        <w:t>行</w:t>
      </w:r>
      <w:r>
        <w:rPr>
          <w:rFonts w:hint="eastAsia" w:ascii="仿宋" w:hAnsi="仿宋" w:eastAsia="仿宋" w:cs="Times New Roman"/>
          <w:color w:val="auto"/>
          <w:szCs w:val="32"/>
        </w:rPr>
        <w:t>〔</w:t>
      </w:r>
      <w:r>
        <w:rPr>
          <w:rFonts w:ascii="仿宋" w:hAnsi="仿宋" w:eastAsia="仿宋" w:cs="Times New Roman"/>
          <w:color w:val="auto"/>
          <w:szCs w:val="32"/>
        </w:rPr>
        <w:t>20</w:t>
      </w:r>
      <w:r>
        <w:rPr>
          <w:rFonts w:hint="eastAsia" w:ascii="仿宋" w:hAnsi="仿宋" w:eastAsia="仿宋" w:cs="Times New Roman"/>
          <w:color w:val="auto"/>
          <w:szCs w:val="32"/>
          <w:lang w:val="en-US" w:eastAsia="zh-CN"/>
        </w:rPr>
        <w:t>22</w:t>
      </w:r>
      <w:r>
        <w:rPr>
          <w:rFonts w:hint="eastAsia" w:ascii="仿宋" w:hAnsi="仿宋" w:eastAsia="仿宋" w:cs="Times New Roman"/>
          <w:color w:val="auto"/>
          <w:szCs w:val="32"/>
        </w:rPr>
        <w:t>〕</w:t>
      </w:r>
      <w:r>
        <w:rPr>
          <w:rFonts w:hint="eastAsia" w:ascii="仿宋" w:hAnsi="仿宋" w:eastAsia="仿宋" w:cs="Times New Roman"/>
          <w:color w:val="auto"/>
          <w:szCs w:val="32"/>
          <w:lang w:val="en-US" w:eastAsia="zh-CN"/>
        </w:rPr>
        <w:t>80</w:t>
      </w:r>
      <w:r>
        <w:rPr>
          <w:rFonts w:hint="eastAsia" w:ascii="仿宋" w:hAnsi="仿宋" w:eastAsia="仿宋" w:cs="Times New Roman"/>
          <w:color w:val="auto"/>
          <w:szCs w:val="32"/>
        </w:rPr>
        <w:t>号）文件，年初安排预算资金</w:t>
      </w:r>
      <w:r>
        <w:rPr>
          <w:rFonts w:hint="eastAsia" w:ascii="仿宋_GB2312" w:cs="Times New Roman"/>
          <w:szCs w:val="32"/>
          <w:lang w:val="en-US" w:eastAsia="zh-CN"/>
        </w:rPr>
        <w:t>1500</w:t>
      </w:r>
      <w:r>
        <w:rPr>
          <w:rFonts w:hint="eastAsia" w:ascii="仿宋_GB2312" w:hAnsi="Times New Roman" w:cs="Times New Roman"/>
          <w:szCs w:val="32"/>
          <w:lang w:val="en-US" w:eastAsia="zh-CN"/>
        </w:rPr>
        <w:t>万元，支出决算数</w:t>
      </w:r>
      <w:r>
        <w:rPr>
          <w:rFonts w:hint="eastAsia" w:ascii="仿宋_GB2312" w:cs="Times New Roman"/>
          <w:szCs w:val="32"/>
          <w:lang w:val="en-US" w:eastAsia="zh-CN"/>
        </w:rPr>
        <w:t>60.90万</w:t>
      </w:r>
      <w:r>
        <w:rPr>
          <w:rFonts w:hint="eastAsia" w:ascii="仿宋_GB2312" w:hAnsi="Times New Roman" w:cs="Times New Roman"/>
          <w:szCs w:val="32"/>
          <w:lang w:val="en-US" w:eastAsia="zh-CN"/>
        </w:rPr>
        <w:t>元</w:t>
      </w:r>
      <w:r>
        <w:rPr>
          <w:rFonts w:hint="eastAsia" w:ascii="仿宋_GB2312" w:cs="Times New Roman"/>
          <w:szCs w:val="32"/>
          <w:lang w:val="en-US" w:eastAsia="zh-CN"/>
        </w:rPr>
        <w:t>。</w:t>
      </w:r>
      <w:r>
        <w:rPr>
          <w:rFonts w:hint="eastAsia" w:ascii="仿宋_GB2312" w:hAnsi="Times New Roman" w:cs="Times New Roman"/>
          <w:szCs w:val="32"/>
          <w:lang w:val="en-US" w:eastAsia="zh-CN"/>
        </w:rPr>
        <w:t>202</w:t>
      </w:r>
      <w:r>
        <w:rPr>
          <w:rFonts w:hint="eastAsia" w:ascii="仿宋_GB2312" w:cs="Times New Roman"/>
          <w:szCs w:val="32"/>
          <w:lang w:val="en-US" w:eastAsia="zh-CN"/>
        </w:rPr>
        <w:t>2</w:t>
      </w:r>
      <w:r>
        <w:rPr>
          <w:rFonts w:hint="eastAsia" w:ascii="仿宋_GB2312" w:hAnsi="Times New Roman" w:cs="Times New Roman"/>
          <w:szCs w:val="32"/>
          <w:lang w:val="en-US" w:eastAsia="zh-CN"/>
        </w:rPr>
        <w:t>年</w:t>
      </w:r>
      <w:r>
        <w:rPr>
          <w:rFonts w:hint="eastAsia" w:ascii="仿宋_GB2312" w:cs="Times New Roman"/>
          <w:szCs w:val="32"/>
          <w:lang w:val="en-US" w:eastAsia="zh-CN"/>
        </w:rPr>
        <w:t>1</w:t>
      </w:r>
      <w:r>
        <w:rPr>
          <w:rFonts w:hint="eastAsia" w:ascii="仿宋_GB2312" w:hAnsi="Times New Roman" w:cs="Times New Roman"/>
          <w:szCs w:val="32"/>
          <w:lang w:val="en-US" w:eastAsia="zh-CN"/>
        </w:rPr>
        <w:t>月至202</w:t>
      </w:r>
      <w:r>
        <w:rPr>
          <w:rFonts w:hint="eastAsia" w:ascii="仿宋_GB2312" w:cs="Times New Roman"/>
          <w:szCs w:val="32"/>
          <w:lang w:val="en-US" w:eastAsia="zh-CN"/>
        </w:rPr>
        <w:t>2</w:t>
      </w:r>
      <w:r>
        <w:rPr>
          <w:rFonts w:hint="eastAsia" w:ascii="仿宋_GB2312" w:hAnsi="Times New Roman" w:cs="Times New Roman"/>
          <w:szCs w:val="32"/>
          <w:lang w:val="en-US" w:eastAsia="zh-CN"/>
        </w:rPr>
        <w:t>年底，共修复城市道路沥青路面约</w:t>
      </w:r>
      <w:r>
        <w:rPr>
          <w:rFonts w:hint="eastAsia" w:ascii="仿宋_GB2312" w:cs="Times New Roman"/>
          <w:szCs w:val="32"/>
          <w:lang w:val="en-US" w:eastAsia="zh-CN"/>
        </w:rPr>
        <w:t>9847.53</w:t>
      </w:r>
      <w:r>
        <w:rPr>
          <w:rFonts w:hint="eastAsia" w:ascii="仿宋_GB2312" w:hAnsi="Times New Roman" w:cs="Times New Roman"/>
          <w:szCs w:val="32"/>
          <w:lang w:val="en-US" w:eastAsia="zh-CN"/>
        </w:rPr>
        <w:t>平方米、人行道约</w:t>
      </w:r>
      <w:r>
        <w:rPr>
          <w:rFonts w:hint="eastAsia" w:ascii="仿宋_GB2312" w:cs="Times New Roman"/>
          <w:szCs w:val="32"/>
          <w:lang w:val="en-US" w:eastAsia="zh-CN"/>
        </w:rPr>
        <w:t>1639.24</w:t>
      </w:r>
      <w:r>
        <w:rPr>
          <w:rFonts w:hint="eastAsia" w:ascii="仿宋_GB2312" w:hAnsi="Times New Roman" w:cs="Times New Roman"/>
          <w:szCs w:val="32"/>
          <w:lang w:val="en-US" w:eastAsia="zh-CN"/>
        </w:rPr>
        <w:t>平方米、各类路缘石、平沿石约</w:t>
      </w:r>
      <w:r>
        <w:rPr>
          <w:rFonts w:hint="eastAsia" w:ascii="仿宋_GB2312" w:cs="Times New Roman"/>
          <w:szCs w:val="32"/>
          <w:lang w:val="en-US" w:eastAsia="zh-CN"/>
        </w:rPr>
        <w:t>1202.97</w:t>
      </w:r>
      <w:r>
        <w:rPr>
          <w:rFonts w:hint="eastAsia" w:ascii="仿宋_GB2312" w:hAnsi="Times New Roman" w:cs="Times New Roman"/>
          <w:szCs w:val="32"/>
          <w:lang w:val="en-US" w:eastAsia="zh-CN"/>
        </w:rPr>
        <w:t>米</w:t>
      </w:r>
      <w:r>
        <w:rPr>
          <w:rFonts w:hint="eastAsia" w:ascii="仿宋_GB2312" w:cs="Times New Roman"/>
          <w:szCs w:val="32"/>
          <w:lang w:val="en-US" w:eastAsia="zh-CN"/>
        </w:rPr>
        <w:t>，</w:t>
      </w:r>
      <w:r>
        <w:rPr>
          <w:rFonts w:hint="eastAsia" w:ascii="仿宋_GB2312" w:hAnsi="Times New Roman" w:cs="Times New Roman"/>
          <w:szCs w:val="32"/>
          <w:lang w:val="en-US" w:eastAsia="zh-CN"/>
        </w:rPr>
        <w:t>确保了辖区城市道路平坦通畅</w:t>
      </w:r>
      <w:r>
        <w:rPr>
          <w:rFonts w:hint="eastAsia" w:ascii="仿宋_GB2312" w:cs="Times New Roman"/>
          <w:szCs w:val="32"/>
          <w:lang w:val="en-US" w:eastAsia="zh-CN"/>
        </w:rPr>
        <w:t>、</w:t>
      </w:r>
      <w:r>
        <w:rPr>
          <w:rFonts w:hint="eastAsia" w:ascii="仿宋_GB2312" w:hAnsi="Times New Roman" w:cs="Times New Roman"/>
          <w:szCs w:val="32"/>
          <w:lang w:val="en-US" w:eastAsia="zh-CN"/>
        </w:rPr>
        <w:t>道路、桥梁（隧道）运行情况良好。</w:t>
      </w:r>
    </w:p>
    <w:p>
      <w:pPr>
        <w:ind w:firstLine="600" w:firstLineChars="200"/>
        <w:outlineLvl w:val="0"/>
        <w:rPr>
          <w:rFonts w:hint="eastAsia" w:ascii="仿宋_GB2312" w:hAnsi="Times New Roman" w:cs="Times New Roman"/>
          <w:b/>
          <w:bCs/>
          <w:szCs w:val="32"/>
        </w:rPr>
      </w:pPr>
      <w:r>
        <w:rPr>
          <w:rFonts w:hint="eastAsia" w:ascii="仿宋_GB2312" w:hAnsi="Times New Roman" w:cs="Times New Roman"/>
          <w:b/>
          <w:bCs/>
          <w:szCs w:val="32"/>
        </w:rPr>
        <w:t>三、绩效评价工作情况</w:t>
      </w:r>
    </w:p>
    <w:p>
      <w:pPr>
        <w:ind w:firstLine="600" w:firstLineChars="200"/>
        <w:outlineLvl w:val="0"/>
        <w:rPr>
          <w:rFonts w:hint="eastAsia" w:ascii="仿宋_GB2312" w:hAnsi="Times New Roman" w:cs="Times New Roman"/>
          <w:szCs w:val="32"/>
        </w:rPr>
      </w:pPr>
      <w:r>
        <w:rPr>
          <w:rFonts w:hint="eastAsia" w:ascii="仿宋_GB2312" w:hAnsi="Times New Roman" w:cs="Times New Roman"/>
          <w:szCs w:val="32"/>
        </w:rPr>
        <w:t>（一）绩效评价目的</w:t>
      </w:r>
    </w:p>
    <w:p>
      <w:pPr>
        <w:ind w:firstLine="600" w:firstLineChars="200"/>
        <w:outlineLvl w:val="0"/>
        <w:rPr>
          <w:rFonts w:hint="eastAsia" w:ascii="仿宋_GB2312" w:hAnsi="Times New Roman" w:cs="Times New Roman"/>
          <w:szCs w:val="32"/>
        </w:rPr>
      </w:pPr>
      <w:r>
        <w:rPr>
          <w:rFonts w:hint="eastAsia" w:ascii="仿宋_GB2312" w:hAnsi="Times New Roman" w:cs="Times New Roman"/>
          <w:szCs w:val="32"/>
        </w:rPr>
        <w:t>通过绩效评价，反映单位年度绩效目标设定、财政资金到位、使用、管理及结余情况、财务及项目管理的制度建设、执行情况以及取得的成效，总结经验，找准问题，提出今后工作改进的意见和建议，不断提高财政资金使用效率和效益，更好的履行部门职责、依法行政提供决策依据。</w:t>
      </w:r>
    </w:p>
    <w:p>
      <w:pPr>
        <w:ind w:firstLine="600" w:firstLineChars="200"/>
        <w:outlineLvl w:val="0"/>
        <w:rPr>
          <w:rFonts w:hint="eastAsia" w:ascii="仿宋_GB2312" w:hAnsi="Times New Roman" w:cs="Times New Roman"/>
          <w:szCs w:val="32"/>
        </w:rPr>
      </w:pPr>
      <w:r>
        <w:rPr>
          <w:rFonts w:hint="eastAsia" w:ascii="仿宋_GB2312" w:hAnsi="Times New Roman" w:cs="Times New Roman"/>
          <w:szCs w:val="32"/>
          <w:lang w:eastAsia="zh-CN"/>
        </w:rPr>
        <w:t>（</w:t>
      </w:r>
      <w:r>
        <w:rPr>
          <w:rFonts w:hint="eastAsia" w:ascii="仿宋_GB2312" w:hAnsi="Times New Roman" w:cs="Times New Roman"/>
          <w:szCs w:val="32"/>
          <w:lang w:val="en-US" w:eastAsia="zh-CN"/>
        </w:rPr>
        <w:t>二</w:t>
      </w:r>
      <w:r>
        <w:rPr>
          <w:rFonts w:hint="eastAsia" w:ascii="仿宋_GB2312" w:hAnsi="Times New Roman" w:cs="Times New Roman"/>
          <w:szCs w:val="32"/>
          <w:lang w:eastAsia="zh-CN"/>
        </w:rPr>
        <w:t>）</w:t>
      </w:r>
      <w:r>
        <w:rPr>
          <w:rFonts w:hint="eastAsia" w:ascii="仿宋_GB2312" w:hAnsi="Times New Roman" w:cs="Times New Roman"/>
          <w:szCs w:val="32"/>
        </w:rPr>
        <w:t>绩效评价工作过程</w:t>
      </w:r>
    </w:p>
    <w:p>
      <w:pPr>
        <w:topLinePunct/>
        <w:ind w:firstLine="600" w:firstLineChars="200"/>
        <w:rPr>
          <w:rFonts w:hint="eastAsia" w:ascii="仿宋_GB2312" w:hAnsi="Calibri" w:cs="Times New Roman"/>
          <w:szCs w:val="32"/>
        </w:rPr>
      </w:pPr>
      <w:r>
        <w:rPr>
          <w:rFonts w:hint="eastAsia" w:ascii="仿宋_GB2312" w:hAnsi="Calibri" w:cs="Times New Roman"/>
          <w:szCs w:val="32"/>
        </w:rPr>
        <w:t>1、前期准备：我们于202</w:t>
      </w:r>
      <w:r>
        <w:rPr>
          <w:rFonts w:hint="eastAsia" w:ascii="仿宋_GB2312" w:hAnsi="Calibri" w:cs="Times New Roman"/>
          <w:szCs w:val="32"/>
          <w:lang w:val="en-US" w:eastAsia="zh-CN"/>
        </w:rPr>
        <w:t>2</w:t>
      </w:r>
      <w:r>
        <w:rPr>
          <w:rFonts w:hint="eastAsia" w:ascii="仿宋_GB2312" w:hAnsi="Calibri" w:cs="Times New Roman"/>
          <w:szCs w:val="32"/>
        </w:rPr>
        <w:t>年3月</w:t>
      </w:r>
      <w:r>
        <w:rPr>
          <w:rFonts w:hint="eastAsia" w:ascii="仿宋_GB2312" w:hAnsi="Calibri" w:cs="Times New Roman"/>
          <w:szCs w:val="32"/>
          <w:lang w:val="en-US" w:eastAsia="zh-CN"/>
        </w:rPr>
        <w:t>14</w:t>
      </w:r>
      <w:r>
        <w:rPr>
          <w:rFonts w:hint="eastAsia" w:ascii="仿宋_GB2312" w:hAnsi="Calibri" w:cs="Times New Roman"/>
          <w:szCs w:val="32"/>
        </w:rPr>
        <w:t>日收到绩效评价相关文件要求后，单位领导及时做了安排，梳理整体支出基本情况、项目支出情况；确定自评项目，根据项目基本情况收集资料、汇总数据，制定评价方案，制定评价指标体系，完善评价指标体系。</w:t>
      </w:r>
    </w:p>
    <w:p>
      <w:pPr>
        <w:topLinePunct/>
        <w:ind w:firstLine="600" w:firstLineChars="200"/>
        <w:rPr>
          <w:rFonts w:hint="eastAsia" w:ascii="仿宋_GB2312" w:hAnsi="Calibri" w:cs="Times New Roman"/>
          <w:szCs w:val="32"/>
        </w:rPr>
      </w:pPr>
      <w:r>
        <w:rPr>
          <w:rFonts w:hint="eastAsia" w:ascii="仿宋_GB2312" w:hAnsi="Calibri" w:cs="Times New Roman"/>
          <w:szCs w:val="32"/>
        </w:rPr>
        <w:t>2</w:t>
      </w:r>
      <w:r>
        <w:rPr>
          <w:rFonts w:hint="eastAsia" w:ascii="仿宋_GB2312" w:hAnsi="Calibri" w:cs="Times New Roman"/>
          <w:szCs w:val="32"/>
          <w:lang w:eastAsia="zh-CN"/>
        </w:rPr>
        <w:t>、</w:t>
      </w:r>
      <w:r>
        <w:rPr>
          <w:rFonts w:hint="eastAsia" w:ascii="仿宋_GB2312" w:hAnsi="Calibri" w:cs="Times New Roman"/>
          <w:szCs w:val="32"/>
        </w:rPr>
        <w:t>组织实施：为使绩效评价工作顺利开展，202</w:t>
      </w:r>
      <w:r>
        <w:rPr>
          <w:rFonts w:hint="eastAsia" w:ascii="仿宋_GB2312" w:hAnsi="Calibri" w:cs="Times New Roman"/>
          <w:szCs w:val="32"/>
          <w:lang w:val="en-US" w:eastAsia="zh-CN"/>
        </w:rPr>
        <w:t>2</w:t>
      </w:r>
      <w:r>
        <w:rPr>
          <w:rFonts w:hint="eastAsia" w:ascii="仿宋_GB2312" w:hAnsi="Calibri" w:cs="Times New Roman"/>
          <w:szCs w:val="32"/>
        </w:rPr>
        <w:t>年3月</w:t>
      </w:r>
      <w:r>
        <w:rPr>
          <w:rFonts w:hint="eastAsia" w:ascii="仿宋_GB2312" w:hAnsi="Calibri" w:cs="Times New Roman"/>
          <w:szCs w:val="32"/>
          <w:lang w:val="en-US" w:eastAsia="zh-CN"/>
        </w:rPr>
        <w:t>20</w:t>
      </w:r>
      <w:r>
        <w:rPr>
          <w:rFonts w:hint="eastAsia" w:ascii="仿宋_GB2312" w:hAnsi="Calibri" w:cs="Times New Roman"/>
          <w:szCs w:val="32"/>
        </w:rPr>
        <w:t>日成立由</w:t>
      </w:r>
      <w:r>
        <w:rPr>
          <w:rFonts w:hint="eastAsia" w:ascii="仿宋_GB2312" w:hAnsi="Calibri" w:cs="Times New Roman"/>
          <w:szCs w:val="32"/>
          <w:lang w:val="en-US" w:eastAsia="zh-CN"/>
        </w:rPr>
        <w:t>党组书记、</w:t>
      </w:r>
      <w:r>
        <w:rPr>
          <w:rFonts w:hint="eastAsia" w:ascii="仿宋_GB2312" w:hAnsi="Calibri" w:cs="Times New Roman"/>
          <w:szCs w:val="32"/>
        </w:rPr>
        <w:t>局长任组长的财政支出绩效评价工作领导小组，负责绩效评价的组织和实施工作，负责本次绩效评价工作。</w:t>
      </w:r>
    </w:p>
    <w:p>
      <w:pPr>
        <w:ind w:firstLine="600" w:firstLineChars="200"/>
        <w:rPr>
          <w:rFonts w:hint="eastAsia" w:ascii="仿宋" w:hAnsi="仿宋" w:eastAsia="仿宋" w:cs="仿宋"/>
          <w:spacing w:val="5"/>
          <w:szCs w:val="32"/>
          <w:highlight w:val="yellow"/>
          <w:lang w:eastAsia="zh-CN"/>
        </w:rPr>
      </w:pPr>
      <w:r>
        <w:rPr>
          <w:rFonts w:hint="eastAsia" w:ascii="仿宋_GB2312" w:hAnsi="Calibri" w:cs="Times New Roman"/>
          <w:szCs w:val="32"/>
        </w:rPr>
        <w:t>3</w:t>
      </w:r>
      <w:r>
        <w:rPr>
          <w:rFonts w:hint="eastAsia" w:ascii="仿宋_GB2312" w:hAnsi="Calibri" w:cs="Times New Roman"/>
          <w:szCs w:val="32"/>
          <w:lang w:eastAsia="zh-CN"/>
        </w:rPr>
        <w:t>、</w:t>
      </w:r>
      <w:r>
        <w:rPr>
          <w:rFonts w:hint="eastAsia" w:ascii="仿宋_GB2312" w:hAnsi="Calibri" w:cs="Times New Roman"/>
          <w:szCs w:val="32"/>
        </w:rPr>
        <w:t>分析评价： 3月</w:t>
      </w:r>
      <w:r>
        <w:rPr>
          <w:rFonts w:hint="eastAsia" w:ascii="仿宋_GB2312" w:hAnsi="Calibri" w:cs="Times New Roman"/>
          <w:szCs w:val="32"/>
          <w:lang w:val="en-US" w:eastAsia="zh-CN"/>
        </w:rPr>
        <w:t>14</w:t>
      </w:r>
      <w:r>
        <w:rPr>
          <w:rFonts w:hint="eastAsia" w:ascii="仿宋_GB2312" w:hAnsi="Calibri" w:cs="Times New Roman"/>
          <w:szCs w:val="32"/>
        </w:rPr>
        <w:t>日至3月</w:t>
      </w:r>
      <w:r>
        <w:rPr>
          <w:rFonts w:hint="eastAsia" w:ascii="仿宋_GB2312" w:hAnsi="Calibri" w:cs="Times New Roman"/>
          <w:szCs w:val="32"/>
          <w:lang w:val="en-US" w:eastAsia="zh-CN"/>
        </w:rPr>
        <w:t>20</w:t>
      </w:r>
      <w:r>
        <w:rPr>
          <w:rFonts w:hint="eastAsia" w:ascii="仿宋_GB2312" w:hAnsi="Calibri" w:cs="Times New Roman"/>
          <w:szCs w:val="32"/>
        </w:rPr>
        <w:t>日，各事业单位及各项目组先结合要求进行摸底准备，进行单位整体支出绩效及项目支出绩效的自评工作。</w:t>
      </w:r>
      <w:r>
        <w:rPr>
          <w:rFonts w:hint="eastAsia" w:ascii="仿宋_GB2312" w:hAnsi="Calibri" w:cs="Times New Roman"/>
          <w:szCs w:val="32"/>
          <w:lang w:val="en-US" w:eastAsia="zh-CN"/>
        </w:rPr>
        <w:t>4</w:t>
      </w:r>
      <w:r>
        <w:rPr>
          <w:rFonts w:hint="eastAsia" w:ascii="仿宋_GB2312" w:hAnsi="Calibri" w:cs="Times New Roman"/>
          <w:szCs w:val="32"/>
        </w:rPr>
        <w:t>月</w:t>
      </w:r>
      <w:r>
        <w:rPr>
          <w:rFonts w:hint="eastAsia" w:ascii="仿宋_GB2312" w:hAnsi="Calibri" w:cs="Times New Roman"/>
          <w:szCs w:val="32"/>
          <w:lang w:val="en-US" w:eastAsia="zh-CN"/>
        </w:rPr>
        <w:t>5</w:t>
      </w:r>
      <w:r>
        <w:rPr>
          <w:rFonts w:hint="eastAsia" w:ascii="仿宋_GB2312" w:hAnsi="Calibri" w:cs="Times New Roman"/>
          <w:szCs w:val="32"/>
        </w:rPr>
        <w:t>日局评价小组召开专题会议，集中安排布置本次财政支出评价工作，并提出工作要求，进行核实、分析，对基本支出绩效及项目支出绩效完成情况，进行综合分析形成评价结论，于</w:t>
      </w:r>
      <w:r>
        <w:rPr>
          <w:rFonts w:hint="eastAsia" w:ascii="仿宋_GB2312" w:hAnsi="Calibri" w:cs="Times New Roman"/>
          <w:szCs w:val="32"/>
          <w:lang w:val="en-US" w:eastAsia="zh-CN"/>
        </w:rPr>
        <w:t>4</w:t>
      </w:r>
      <w:r>
        <w:rPr>
          <w:rFonts w:hint="eastAsia" w:ascii="仿宋_GB2312" w:hAnsi="Calibri" w:cs="Times New Roman"/>
          <w:szCs w:val="32"/>
        </w:rPr>
        <w:t>月</w:t>
      </w:r>
      <w:r>
        <w:rPr>
          <w:rFonts w:hint="eastAsia" w:ascii="仿宋_GB2312" w:hAnsi="Calibri" w:cs="Times New Roman"/>
          <w:szCs w:val="32"/>
          <w:lang w:val="en-US" w:eastAsia="zh-CN"/>
        </w:rPr>
        <w:t>10</w:t>
      </w:r>
      <w:r>
        <w:rPr>
          <w:rFonts w:hint="eastAsia" w:ascii="仿宋_GB2312" w:hAnsi="Calibri" w:cs="Times New Roman"/>
          <w:szCs w:val="32"/>
        </w:rPr>
        <w:t>日前上报202</w:t>
      </w:r>
      <w:r>
        <w:rPr>
          <w:rFonts w:hint="eastAsia" w:ascii="仿宋_GB2312" w:hAnsi="Calibri" w:cs="Times New Roman"/>
          <w:szCs w:val="32"/>
          <w:lang w:val="en-US" w:eastAsia="zh-CN"/>
        </w:rPr>
        <w:t>2</w:t>
      </w:r>
      <w:r>
        <w:rPr>
          <w:rFonts w:hint="eastAsia" w:ascii="仿宋_GB2312" w:hAnsi="Calibri" w:cs="Times New Roman"/>
          <w:szCs w:val="32"/>
        </w:rPr>
        <w:t>年各单位整体支出绩效及项目支出绩效自评</w:t>
      </w:r>
      <w:r>
        <w:rPr>
          <w:rFonts w:hint="eastAsia" w:ascii="仿宋_GB2312" w:hAnsi="Calibri" w:cs="Times New Roman"/>
          <w:szCs w:val="32"/>
          <w:lang w:eastAsia="zh-CN"/>
        </w:rPr>
        <w:t>。</w:t>
      </w:r>
    </w:p>
    <w:p>
      <w:pPr>
        <w:ind w:firstLine="600" w:firstLineChars="200"/>
        <w:outlineLvl w:val="0"/>
        <w:rPr>
          <w:rFonts w:hint="eastAsia" w:ascii="仿宋_GB2312" w:hAnsi="Times New Roman" w:cs="Times New Roman"/>
          <w:b/>
          <w:bCs/>
          <w:szCs w:val="32"/>
        </w:rPr>
      </w:pPr>
      <w:r>
        <w:rPr>
          <w:rFonts w:hint="eastAsia" w:ascii="仿宋_GB2312" w:hAnsi="Times New Roman" w:cs="Times New Roman"/>
          <w:b/>
          <w:bCs/>
          <w:szCs w:val="32"/>
        </w:rPr>
        <w:t>四、绩效评价指标分析情况</w:t>
      </w:r>
    </w:p>
    <w:p>
      <w:pPr>
        <w:ind w:firstLine="600" w:firstLineChars="200"/>
        <w:outlineLvl w:val="0"/>
        <w:rPr>
          <w:rFonts w:hint="eastAsia" w:ascii="仿宋_GB2312" w:hAnsi="Times New Roman" w:cs="Times New Roman"/>
          <w:szCs w:val="32"/>
        </w:rPr>
      </w:pPr>
      <w:r>
        <w:rPr>
          <w:rFonts w:hint="eastAsia" w:ascii="仿宋_GB2312" w:hAnsi="Times New Roman" w:cs="Times New Roman"/>
          <w:szCs w:val="32"/>
        </w:rPr>
        <w:t>1、经济性分析</w:t>
      </w:r>
    </w:p>
    <w:p>
      <w:pPr>
        <w:pStyle w:val="2"/>
        <w:ind w:firstLine="60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项目通过招投标的方式选择服务单位进行成本核算，控制项目成本，节约资金。2022年收入支出平衡，各项工资及费用支出均按厉行节约的原则严格控制，切实保证了工作经费高效使用，未有扩大。</w:t>
      </w:r>
    </w:p>
    <w:p>
      <w:pPr>
        <w:ind w:firstLine="600" w:firstLineChars="200"/>
        <w:outlineLvl w:val="0"/>
        <w:rPr>
          <w:rFonts w:hint="eastAsia" w:ascii="仿宋_GB2312" w:hAnsi="Times New Roman" w:cs="Times New Roman"/>
          <w:szCs w:val="32"/>
        </w:rPr>
      </w:pPr>
      <w:r>
        <w:rPr>
          <w:rFonts w:hint="eastAsia" w:ascii="仿宋_GB2312" w:hAnsi="Times New Roman" w:cs="Times New Roman"/>
          <w:szCs w:val="32"/>
        </w:rPr>
        <w:t>2、效率性分析</w:t>
      </w:r>
    </w:p>
    <w:p>
      <w:pPr>
        <w:ind w:firstLine="600" w:firstLineChars="200"/>
        <w:outlineLvl w:val="0"/>
        <w:rPr>
          <w:rFonts w:hint="eastAsia" w:ascii="仿宋_GB2312" w:hAnsi="Times New Roman" w:cs="Times New Roman"/>
          <w:szCs w:val="32"/>
        </w:rPr>
      </w:pPr>
      <w:r>
        <w:rPr>
          <w:rFonts w:hint="eastAsia" w:ascii="仿宋_GB2312" w:hAnsi="Times New Roman" w:cs="Times New Roman"/>
          <w:szCs w:val="32"/>
        </w:rPr>
        <w:t>20</w:t>
      </w:r>
      <w:r>
        <w:rPr>
          <w:rFonts w:hint="eastAsia" w:ascii="仿宋_GB2312" w:hAnsi="Times New Roman" w:cs="Times New Roman"/>
          <w:szCs w:val="32"/>
          <w:lang w:val="en-US" w:eastAsia="zh-CN"/>
        </w:rPr>
        <w:t>2</w:t>
      </w:r>
      <w:r>
        <w:rPr>
          <w:rFonts w:hint="eastAsia" w:ascii="仿宋_GB2312" w:cs="Times New Roman"/>
          <w:szCs w:val="32"/>
          <w:lang w:val="en-US" w:eastAsia="zh-CN"/>
        </w:rPr>
        <w:t>2</w:t>
      </w:r>
      <w:r>
        <w:rPr>
          <w:rFonts w:hint="eastAsia" w:ascii="仿宋_GB2312" w:hAnsi="Times New Roman" w:cs="Times New Roman"/>
          <w:szCs w:val="32"/>
        </w:rPr>
        <w:t>年度我单位整体支出绩效结合我单位年度主要工作目标任务及实际工作的开展情况，按质按量及时完成各项工作。</w:t>
      </w:r>
    </w:p>
    <w:p>
      <w:pPr>
        <w:ind w:firstLine="600" w:firstLineChars="200"/>
        <w:outlineLvl w:val="0"/>
        <w:rPr>
          <w:rFonts w:hint="eastAsia" w:ascii="仿宋_GB2312" w:hAnsi="Times New Roman" w:cs="Times New Roman"/>
          <w:szCs w:val="32"/>
        </w:rPr>
      </w:pPr>
      <w:r>
        <w:rPr>
          <w:rFonts w:hint="eastAsia" w:ascii="仿宋_GB2312" w:hAnsi="Times New Roman" w:cs="Times New Roman"/>
          <w:szCs w:val="32"/>
          <w:lang w:val="en-US" w:eastAsia="zh-CN"/>
        </w:rPr>
        <w:t>3、</w:t>
      </w:r>
      <w:r>
        <w:rPr>
          <w:rFonts w:hint="eastAsia" w:ascii="仿宋_GB2312" w:hAnsi="Times New Roman" w:cs="Times New Roman"/>
          <w:szCs w:val="32"/>
        </w:rPr>
        <w:t>效益性分析</w:t>
      </w:r>
    </w:p>
    <w:p>
      <w:pPr>
        <w:ind w:firstLine="600" w:firstLineChars="200"/>
        <w:outlineLvl w:val="0"/>
        <w:rPr>
          <w:rFonts w:hint="eastAsia" w:ascii="仿宋_GB2312" w:hAnsi="Times New Roman" w:cs="Times New Roman"/>
          <w:szCs w:val="32"/>
        </w:rPr>
      </w:pPr>
      <w:r>
        <w:rPr>
          <w:rFonts w:hint="eastAsia" w:ascii="仿宋" w:hAnsi="仿宋" w:eastAsia="仿宋" w:cs="仿宋_GB2312"/>
          <w:szCs w:val="32"/>
        </w:rPr>
        <w:t>本项目的实施将改善周边交通环境，</w:t>
      </w:r>
      <w:r>
        <w:rPr>
          <w:rFonts w:hint="eastAsia" w:ascii="仿宋_GB2312" w:hAnsi="Times New Roman" w:cs="Times New Roman"/>
          <w:szCs w:val="32"/>
          <w:lang w:val="en-US" w:eastAsia="zh-CN"/>
        </w:rPr>
        <w:t>提升城市道路管理维护工作，切实提高城市道路精细化管理维护水平，确保辖区城市道路平坦通畅，道路、桥梁（隧道）运行情况良好，开展道路、桥梁（隧道）管理维护工作。</w:t>
      </w:r>
      <w:r>
        <w:rPr>
          <w:rFonts w:hint="eastAsia" w:ascii="仿宋" w:hAnsi="仿宋" w:eastAsia="仿宋" w:cs="仿宋_GB2312"/>
          <w:szCs w:val="32"/>
        </w:rPr>
        <w:t>提高区域交通网络的通达性和便捷性；促进固定资产投资，增加社会就业，促进呈贡新区发展。</w:t>
      </w:r>
    </w:p>
    <w:p>
      <w:pPr>
        <w:ind w:firstLine="600" w:firstLineChars="200"/>
        <w:outlineLvl w:val="0"/>
        <w:rPr>
          <w:rFonts w:hint="eastAsia" w:ascii="仿宋_GB2312" w:hAnsi="Times New Roman" w:cs="Times New Roman"/>
          <w:szCs w:val="32"/>
        </w:rPr>
      </w:pPr>
      <w:r>
        <w:rPr>
          <w:rFonts w:hint="eastAsia" w:ascii="仿宋_GB2312" w:hAnsi="Times New Roman" w:cs="Times New Roman"/>
          <w:b/>
          <w:bCs/>
          <w:szCs w:val="32"/>
          <w:lang w:val="en-US" w:eastAsia="zh-CN"/>
        </w:rPr>
        <w:t>五、</w:t>
      </w:r>
      <w:r>
        <w:rPr>
          <w:rFonts w:hint="eastAsia" w:ascii="仿宋_GB2312" w:hAnsi="Times New Roman" w:cs="Times New Roman"/>
          <w:b/>
          <w:bCs/>
          <w:szCs w:val="32"/>
        </w:rPr>
        <w:t>综合评价情况及评价结论</w:t>
      </w:r>
    </w:p>
    <w:p>
      <w:pPr>
        <w:ind w:firstLine="600" w:firstLineChars="200"/>
        <w:outlineLvl w:val="0"/>
        <w:rPr>
          <w:rFonts w:hint="default" w:ascii="仿宋_GB2312" w:hAnsi="Times New Roman" w:cs="Times New Roman"/>
          <w:szCs w:val="32"/>
          <w:lang w:val="en-US" w:eastAsia="zh-CN"/>
        </w:rPr>
      </w:pPr>
      <w:r>
        <w:rPr>
          <w:rFonts w:hint="eastAsia" w:ascii="仿宋_GB2312" w:hAnsi="Times New Roman" w:cs="Times New Roman"/>
          <w:szCs w:val="32"/>
        </w:rPr>
        <w:t>该项目综合得分为9</w:t>
      </w:r>
      <w:r>
        <w:rPr>
          <w:rFonts w:hint="eastAsia" w:ascii="仿宋_GB2312" w:cs="Times New Roman"/>
          <w:szCs w:val="32"/>
          <w:lang w:val="en-US" w:eastAsia="zh-CN"/>
        </w:rPr>
        <w:t>5</w:t>
      </w:r>
      <w:bookmarkStart w:id="0" w:name="_GoBack"/>
      <w:bookmarkEnd w:id="0"/>
      <w:r>
        <w:rPr>
          <w:rFonts w:hint="eastAsia" w:ascii="仿宋_GB2312" w:hAnsi="Times New Roman" w:cs="Times New Roman"/>
          <w:szCs w:val="32"/>
        </w:rPr>
        <w:t>分，评定等级为优。</w:t>
      </w:r>
    </w:p>
    <w:p>
      <w:pPr>
        <w:ind w:firstLine="600" w:firstLineChars="200"/>
        <w:outlineLvl w:val="0"/>
        <w:rPr>
          <w:rFonts w:hint="default" w:ascii="仿宋_GB2312" w:hAnsi="Times New Roman" w:eastAsia="仿宋_GB2312" w:cs="Times New Roman"/>
          <w:b/>
          <w:bCs/>
          <w:szCs w:val="32"/>
          <w:lang w:val="en-US" w:eastAsia="zh-CN"/>
        </w:rPr>
      </w:pPr>
      <w:r>
        <w:rPr>
          <w:rFonts w:hint="eastAsia" w:ascii="仿宋_GB2312" w:hAnsi="Times New Roman" w:cs="Times New Roman"/>
          <w:b/>
          <w:bCs/>
          <w:szCs w:val="32"/>
          <w:lang w:val="en-US" w:eastAsia="zh-CN"/>
        </w:rPr>
        <w:t>六、</w:t>
      </w:r>
      <w:r>
        <w:rPr>
          <w:rFonts w:hint="eastAsia" w:ascii="仿宋_GB2312" w:hAnsi="Times New Roman" w:cs="Times New Roman"/>
          <w:b/>
          <w:bCs/>
          <w:szCs w:val="32"/>
        </w:rPr>
        <w:t>绩效评价结果应用建议</w:t>
      </w:r>
      <w:r>
        <w:rPr>
          <w:rFonts w:hint="eastAsia" w:ascii="仿宋_GB2312" w:hAnsi="Times New Roman" w:cs="Times New Roman"/>
          <w:b/>
          <w:bCs/>
          <w:szCs w:val="32"/>
          <w:lang w:val="en-US" w:eastAsia="zh-CN"/>
        </w:rPr>
        <w:t xml:space="preserve">  </w:t>
      </w:r>
      <w:r>
        <w:rPr>
          <w:rFonts w:hint="eastAsia" w:ascii="仿宋_GB2312" w:hAnsi="Times New Roman" w:cs="Times New Roman"/>
          <w:b w:val="0"/>
          <w:bCs w:val="0"/>
          <w:szCs w:val="32"/>
          <w:lang w:val="en-US" w:eastAsia="zh-CN"/>
        </w:rPr>
        <w:t>无</w:t>
      </w:r>
    </w:p>
    <w:p>
      <w:pPr>
        <w:ind w:firstLine="600" w:firstLineChars="200"/>
        <w:outlineLvl w:val="0"/>
        <w:rPr>
          <w:rFonts w:hint="default" w:ascii="仿宋_GB2312" w:hAnsi="Times New Roman" w:cs="Times New Roman"/>
          <w:szCs w:val="32"/>
          <w:lang w:val="en-US" w:eastAsia="zh-CN"/>
        </w:rPr>
      </w:pPr>
      <w:r>
        <w:rPr>
          <w:rFonts w:hint="eastAsia" w:ascii="仿宋_GB2312" w:hAnsi="Times New Roman" w:cs="Times New Roman"/>
          <w:b/>
          <w:bCs/>
          <w:szCs w:val="32"/>
          <w:lang w:val="en-US" w:eastAsia="zh-CN"/>
        </w:rPr>
        <w:t xml:space="preserve">七、主要经验及做法、存在的问题和建议  </w:t>
      </w:r>
      <w:r>
        <w:rPr>
          <w:rFonts w:hint="eastAsia" w:ascii="仿宋_GB2312" w:hAnsi="Times New Roman" w:cs="Times New Roman"/>
          <w:b w:val="0"/>
          <w:bCs w:val="0"/>
          <w:szCs w:val="32"/>
          <w:lang w:val="en-US" w:eastAsia="zh-CN"/>
        </w:rPr>
        <w:t>无</w:t>
      </w:r>
    </w:p>
    <w:p>
      <w:pPr>
        <w:ind w:firstLine="600" w:firstLineChars="200"/>
        <w:outlineLvl w:val="0"/>
        <w:rPr>
          <w:rFonts w:hint="default" w:ascii="仿宋_GB2312" w:hAnsi="Times New Roman" w:eastAsia="仿宋_GB2312" w:cs="Times New Roman"/>
          <w:b/>
          <w:bCs/>
          <w:szCs w:val="32"/>
          <w:lang w:val="en-US" w:eastAsia="zh-CN"/>
        </w:rPr>
      </w:pPr>
      <w:r>
        <w:rPr>
          <w:rFonts w:hint="eastAsia" w:ascii="仿宋_GB2312" w:hAnsi="Times New Roman" w:cs="Times New Roman"/>
          <w:b/>
          <w:bCs/>
          <w:szCs w:val="32"/>
        </w:rPr>
        <w:t>八、其他需说明的问题</w:t>
      </w:r>
      <w:r>
        <w:rPr>
          <w:rFonts w:hint="eastAsia" w:ascii="仿宋_GB2312" w:hAnsi="Times New Roman" w:cs="Times New Roman"/>
          <w:b/>
          <w:bCs/>
          <w:szCs w:val="32"/>
          <w:lang w:val="en-US" w:eastAsia="zh-CN"/>
        </w:rPr>
        <w:t xml:space="preserve">  </w:t>
      </w:r>
      <w:r>
        <w:rPr>
          <w:rFonts w:hint="eastAsia" w:ascii="仿宋_GB2312" w:hAnsi="Times New Roman" w:cs="Times New Roman"/>
          <w:b w:val="0"/>
          <w:bCs w:val="0"/>
          <w:szCs w:val="32"/>
          <w:lang w:val="en-US" w:eastAsia="zh-CN"/>
        </w:rPr>
        <w:t>无</w:t>
      </w:r>
    </w:p>
    <w:p>
      <w:pPr>
        <w:ind w:firstLine="600" w:firstLineChars="200"/>
        <w:outlineLvl w:val="0"/>
        <w:rPr>
          <w:rFonts w:hint="default" w:ascii="仿宋_GB2312" w:hAnsi="Times New Roman" w:cs="Times New Roman"/>
          <w:szCs w:val="32"/>
          <w:lang w:val="en-US" w:eastAsia="zh-CN"/>
        </w:rPr>
      </w:pPr>
    </w:p>
    <w:p>
      <w:pPr>
        <w:ind w:firstLine="600" w:firstLineChars="200"/>
        <w:outlineLvl w:val="0"/>
        <w:rPr>
          <w:rFonts w:hint="eastAsia" w:ascii="仿宋_GB2312" w:hAnsi="Times New Roman" w:cs="Times New Roman"/>
          <w:szCs w:val="32"/>
        </w:rPr>
      </w:pPr>
    </w:p>
    <w:sectPr>
      <w:footerReference r:id="rId3" w:type="default"/>
      <w:footerReference r:id="rId4" w:type="even"/>
      <w:pgSz w:w="11907" w:h="16840"/>
      <w:pgMar w:top="1757" w:right="1757" w:bottom="1757" w:left="1757" w:header="851" w:footer="1304" w:gutter="0"/>
      <w:cols w:space="720" w:num="1"/>
      <w:rtlGutter w:val="0"/>
      <w:docGrid w:type="linesAndChars" w:linePitch="587" w:charSpace="-41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right="335"/>
      <w:rPr>
        <w:rStyle w:val="9"/>
        <w:rFonts w:ascii="宋体" w:hAnsi="宋体" w:eastAsia="宋体"/>
        <w:sz w:val="28"/>
      </w:rPr>
    </w:pPr>
    <w:r>
      <w:rPr>
        <w:rStyle w:val="9"/>
        <w:rFonts w:ascii="宋体" w:hAnsi="宋体" w:eastAsia="宋体"/>
        <w:sz w:val="28"/>
      </w:rPr>
      <w:t>—</w:t>
    </w:r>
    <w:r>
      <w:rPr>
        <w:rFonts w:ascii="宋体" w:hAnsi="宋体" w:eastAsia="宋体"/>
        <w:sz w:val="28"/>
      </w:rPr>
      <w:fldChar w:fldCharType="begin"/>
    </w:r>
    <w:r>
      <w:rPr>
        <w:rStyle w:val="9"/>
        <w:rFonts w:ascii="宋体" w:hAnsi="宋体" w:eastAsia="宋体"/>
        <w:sz w:val="28"/>
      </w:rPr>
      <w:instrText xml:space="preserve">PAGE  </w:instrText>
    </w:r>
    <w:r>
      <w:rPr>
        <w:rFonts w:ascii="宋体" w:hAnsi="宋体" w:eastAsia="宋体"/>
        <w:sz w:val="28"/>
      </w:rPr>
      <w:fldChar w:fldCharType="separate"/>
    </w:r>
    <w:r>
      <w:rPr>
        <w:rStyle w:val="9"/>
        <w:rFonts w:ascii="宋体" w:hAnsi="宋体" w:eastAsia="宋体"/>
        <w:sz w:val="28"/>
      </w:rPr>
      <w:t>11</w:t>
    </w:r>
    <w:r>
      <w:rPr>
        <w:rFonts w:ascii="宋体" w:hAnsi="宋体" w:eastAsia="宋体"/>
        <w:sz w:val="28"/>
      </w:rPr>
      <w:fldChar w:fldCharType="end"/>
    </w:r>
    <w:r>
      <w:rPr>
        <w:rStyle w:val="9"/>
        <w:rFonts w:ascii="宋体" w:hAnsi="宋体" w:eastAsia="宋体"/>
        <w:sz w:val="28"/>
      </w:rPr>
      <w:t>—</w:t>
    </w:r>
  </w:p>
  <w:p>
    <w:pPr>
      <w:pStyle w:val="5"/>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35"/>
      <w:rPr>
        <w:rStyle w:val="9"/>
        <w:rFonts w:ascii="宋体" w:hAnsi="宋体" w:eastAsia="宋体"/>
        <w:sz w:val="28"/>
      </w:rPr>
    </w:pPr>
    <w:r>
      <w:rPr>
        <w:rStyle w:val="9"/>
        <w:rFonts w:ascii="宋体" w:hAnsi="宋体" w:eastAsia="宋体"/>
        <w:sz w:val="28"/>
      </w:rPr>
      <w:t>—</w:t>
    </w:r>
    <w:r>
      <w:rPr>
        <w:rFonts w:ascii="宋体" w:hAnsi="宋体" w:eastAsia="宋体"/>
        <w:sz w:val="28"/>
      </w:rPr>
      <w:fldChar w:fldCharType="begin"/>
    </w:r>
    <w:r>
      <w:rPr>
        <w:rStyle w:val="9"/>
        <w:rFonts w:ascii="宋体" w:hAnsi="宋体" w:eastAsia="宋体"/>
        <w:sz w:val="28"/>
      </w:rPr>
      <w:instrText xml:space="preserve">PAGE  </w:instrText>
    </w:r>
    <w:r>
      <w:rPr>
        <w:rFonts w:ascii="宋体" w:hAnsi="宋体" w:eastAsia="宋体"/>
        <w:sz w:val="28"/>
      </w:rPr>
      <w:fldChar w:fldCharType="separate"/>
    </w:r>
    <w:r>
      <w:rPr>
        <w:rStyle w:val="9"/>
        <w:rFonts w:ascii="宋体" w:hAnsi="宋体" w:eastAsia="宋体"/>
        <w:sz w:val="28"/>
      </w:rPr>
      <w:t>12</w:t>
    </w:r>
    <w:r>
      <w:rPr>
        <w:rFonts w:ascii="宋体" w:hAnsi="宋体" w:eastAsia="宋体"/>
        <w:sz w:val="28"/>
      </w:rPr>
      <w:fldChar w:fldCharType="end"/>
    </w:r>
    <w:r>
      <w:rPr>
        <w:rStyle w:val="9"/>
        <w:rFonts w:ascii="宋体" w:hAnsi="宋体" w:eastAsia="宋体"/>
        <w:sz w:val="28"/>
      </w:rPr>
      <w:t>—</w:t>
    </w:r>
  </w:p>
  <w:p>
    <w:pPr>
      <w:pStyle w:val="5"/>
      <w:ind w:left="300" w:right="360" w:firstLine="360"/>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1"/>
  <w:drawingGridHorizontalSpacing w:val="150"/>
  <w:drawingGridVerticalSpacing w:val="587"/>
  <w:displayHorizontalDrawingGridEvery w:val="2"/>
  <w:displayVerticalDrawingGridEvery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2NTNmOTRlYWRmYjc0MWFjZWYwNDllZWQwYjVkOWMifQ=="/>
  </w:docVars>
  <w:rsids>
    <w:rsidRoot w:val="00172A27"/>
    <w:rsid w:val="013A0E99"/>
    <w:rsid w:val="016F0C99"/>
    <w:rsid w:val="0274444F"/>
    <w:rsid w:val="03C75683"/>
    <w:rsid w:val="05B61F06"/>
    <w:rsid w:val="07853921"/>
    <w:rsid w:val="08440C9B"/>
    <w:rsid w:val="0A807110"/>
    <w:rsid w:val="0ABE44E9"/>
    <w:rsid w:val="0C4A5717"/>
    <w:rsid w:val="0CC3531D"/>
    <w:rsid w:val="0D2950A5"/>
    <w:rsid w:val="0D6D1692"/>
    <w:rsid w:val="0EB21F37"/>
    <w:rsid w:val="10D2506E"/>
    <w:rsid w:val="125F6060"/>
    <w:rsid w:val="14BF233E"/>
    <w:rsid w:val="14D900F4"/>
    <w:rsid w:val="154A5C3A"/>
    <w:rsid w:val="162D7C98"/>
    <w:rsid w:val="17455A72"/>
    <w:rsid w:val="198C60DC"/>
    <w:rsid w:val="1B0C060F"/>
    <w:rsid w:val="1C0B72D3"/>
    <w:rsid w:val="1CEB782D"/>
    <w:rsid w:val="1D6E7CB9"/>
    <w:rsid w:val="1FA07BED"/>
    <w:rsid w:val="20E4070C"/>
    <w:rsid w:val="21776558"/>
    <w:rsid w:val="23377AFD"/>
    <w:rsid w:val="288F5661"/>
    <w:rsid w:val="28CF46ED"/>
    <w:rsid w:val="291A2D9F"/>
    <w:rsid w:val="2A523C80"/>
    <w:rsid w:val="2BBD5953"/>
    <w:rsid w:val="2BDA5988"/>
    <w:rsid w:val="2D5F5F2F"/>
    <w:rsid w:val="30874841"/>
    <w:rsid w:val="31982F8F"/>
    <w:rsid w:val="319F60FD"/>
    <w:rsid w:val="32896A92"/>
    <w:rsid w:val="33040AD2"/>
    <w:rsid w:val="35044B0B"/>
    <w:rsid w:val="368F1BD6"/>
    <w:rsid w:val="38D94D17"/>
    <w:rsid w:val="39145504"/>
    <w:rsid w:val="3A0F2571"/>
    <w:rsid w:val="3A1D35C7"/>
    <w:rsid w:val="3B094F26"/>
    <w:rsid w:val="3D98527C"/>
    <w:rsid w:val="3DF76FAD"/>
    <w:rsid w:val="3E327944"/>
    <w:rsid w:val="3EF82DF1"/>
    <w:rsid w:val="3F6F26BB"/>
    <w:rsid w:val="40C832EE"/>
    <w:rsid w:val="41956442"/>
    <w:rsid w:val="43385C4A"/>
    <w:rsid w:val="43D84DDC"/>
    <w:rsid w:val="44E37A4A"/>
    <w:rsid w:val="45E66725"/>
    <w:rsid w:val="47A70A5F"/>
    <w:rsid w:val="48D92346"/>
    <w:rsid w:val="49F65CA5"/>
    <w:rsid w:val="4A9578A4"/>
    <w:rsid w:val="4BC13DEC"/>
    <w:rsid w:val="4D736628"/>
    <w:rsid w:val="4EF66BB6"/>
    <w:rsid w:val="508977B0"/>
    <w:rsid w:val="511F3696"/>
    <w:rsid w:val="560E420E"/>
    <w:rsid w:val="57F5D36E"/>
    <w:rsid w:val="5CB2001B"/>
    <w:rsid w:val="60954E30"/>
    <w:rsid w:val="613E4268"/>
    <w:rsid w:val="65505A1B"/>
    <w:rsid w:val="675E2F9F"/>
    <w:rsid w:val="68117100"/>
    <w:rsid w:val="69C52823"/>
    <w:rsid w:val="6AE55A6E"/>
    <w:rsid w:val="6AED5599"/>
    <w:rsid w:val="6AFB357B"/>
    <w:rsid w:val="6C8F1413"/>
    <w:rsid w:val="6D790001"/>
    <w:rsid w:val="6E127B78"/>
    <w:rsid w:val="6E2D01C2"/>
    <w:rsid w:val="6EA77BEC"/>
    <w:rsid w:val="6F185730"/>
    <w:rsid w:val="72EFA5B6"/>
    <w:rsid w:val="74AC4392"/>
    <w:rsid w:val="74C9180D"/>
    <w:rsid w:val="76545EF1"/>
    <w:rsid w:val="78771601"/>
    <w:rsid w:val="78AD515C"/>
    <w:rsid w:val="7AE67891"/>
    <w:rsid w:val="7BB650EE"/>
    <w:rsid w:val="7D3E7685"/>
    <w:rsid w:val="7DA53166"/>
    <w:rsid w:val="7EFF2E44"/>
    <w:rsid w:val="9D9FA4CC"/>
    <w:rsid w:val="E53EA8C2"/>
    <w:rsid w:val="EFE1BB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styleId="3">
    <w:name w:val="Body Text Indent"/>
    <w:basedOn w:val="1"/>
    <w:link w:val="11"/>
    <w:qFormat/>
    <w:uiPriority w:val="0"/>
    <w:pPr>
      <w:ind w:firstLine="632" w:firstLineChars="200"/>
    </w:pPr>
    <w:rPr>
      <w:rFonts w:eastAsia="仿宋_GB2312" w:cs="Times New Roman"/>
      <w:sz w:val="20"/>
      <w:szCs w:val="20"/>
    </w:rPr>
  </w:style>
  <w:style w:type="paragraph" w:styleId="4">
    <w:name w:val="Date"/>
    <w:basedOn w:val="1"/>
    <w:next w:val="1"/>
    <w:link w:val="12"/>
    <w:qFormat/>
    <w:uiPriority w:val="0"/>
    <w:pPr>
      <w:ind w:left="100" w:leftChars="2500"/>
    </w:pPr>
    <w:rPr>
      <w:rFonts w:eastAsia="仿宋_GB2312" w:cs="Times New Roman"/>
      <w:sz w:val="20"/>
      <w:szCs w:val="20"/>
    </w:rPr>
  </w:style>
  <w:style w:type="paragraph" w:styleId="5">
    <w:name w:val="footer"/>
    <w:basedOn w:val="1"/>
    <w:link w:val="13"/>
    <w:qFormat/>
    <w:uiPriority w:val="0"/>
    <w:pPr>
      <w:tabs>
        <w:tab w:val="center" w:pos="4153"/>
        <w:tab w:val="right" w:pos="8306"/>
      </w:tabs>
      <w:snapToGrid w:val="0"/>
      <w:jc w:val="left"/>
    </w:pPr>
    <w:rPr>
      <w:rFonts w:eastAsia="仿宋_GB2312" w:cs="Times New Roman"/>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rFonts w:eastAsia="仿宋_GB2312" w:cs="Times New Roman"/>
      <w:sz w:val="18"/>
      <w:szCs w:val="18"/>
    </w:rPr>
  </w:style>
  <w:style w:type="character" w:styleId="9">
    <w:name w:val="page number"/>
    <w:basedOn w:val="8"/>
    <w:qFormat/>
    <w:uiPriority w:val="0"/>
    <w:rPr>
      <w:rFonts w:cs="Times New Roman"/>
    </w:rPr>
  </w:style>
  <w:style w:type="character" w:styleId="10">
    <w:name w:val="Hyperlink"/>
    <w:basedOn w:val="8"/>
    <w:qFormat/>
    <w:uiPriority w:val="0"/>
    <w:rPr>
      <w:rFonts w:cs="Times New Roman"/>
      <w:color w:val="0000FF"/>
      <w:u w:val="single"/>
    </w:rPr>
  </w:style>
  <w:style w:type="character" w:customStyle="1" w:styleId="11">
    <w:name w:val="正文文本缩进 Char"/>
    <w:basedOn w:val="8"/>
    <w:link w:val="3"/>
    <w:qFormat/>
    <w:uiPriority w:val="0"/>
    <w:rPr>
      <w:rFonts w:eastAsia="仿宋_GB2312" w:cs="Times New Roman"/>
      <w:sz w:val="20"/>
      <w:szCs w:val="20"/>
    </w:rPr>
  </w:style>
  <w:style w:type="character" w:customStyle="1" w:styleId="12">
    <w:name w:val="日期 Char"/>
    <w:basedOn w:val="8"/>
    <w:link w:val="4"/>
    <w:qFormat/>
    <w:uiPriority w:val="0"/>
    <w:rPr>
      <w:rFonts w:eastAsia="仿宋_GB2312" w:cs="Times New Roman"/>
      <w:sz w:val="20"/>
      <w:szCs w:val="20"/>
    </w:rPr>
  </w:style>
  <w:style w:type="character" w:customStyle="1" w:styleId="13">
    <w:name w:val="页脚 Char"/>
    <w:basedOn w:val="8"/>
    <w:link w:val="5"/>
    <w:qFormat/>
    <w:uiPriority w:val="0"/>
    <w:rPr>
      <w:rFonts w:eastAsia="仿宋_GB2312" w:cs="Times New Roman"/>
      <w:sz w:val="18"/>
      <w:szCs w:val="18"/>
    </w:rPr>
  </w:style>
  <w:style w:type="character" w:customStyle="1" w:styleId="14">
    <w:name w:val="页眉 Char"/>
    <w:basedOn w:val="8"/>
    <w:link w:val="6"/>
    <w:qFormat/>
    <w:uiPriority w:val="0"/>
    <w:rPr>
      <w:rFonts w:eastAsia="仿宋_GB2312" w:cs="Times New Roman"/>
      <w:sz w:val="18"/>
      <w:szCs w:val="18"/>
    </w:rPr>
  </w:style>
  <w:style w:type="character" w:customStyle="1" w:styleId="15">
    <w:name w:val="NormalCharacter"/>
    <w:semiHidden/>
    <w:qFormat/>
    <w:uiPriority w:val="0"/>
    <w:rPr>
      <w:rFonts w:eastAsia="仿宋_GB2312"/>
      <w:kern w:val="2"/>
      <w:sz w:val="32"/>
      <w:lang w:val="en-US" w:eastAsia="zh-CN" w:bidi="ar-SA"/>
    </w:rPr>
  </w:style>
  <w:style w:type="paragraph" w:customStyle="1" w:styleId="16">
    <w:name w:val="Char Char Char Char Char Char"/>
    <w:basedOn w:val="1"/>
    <w:qFormat/>
    <w:uiPriority w:val="0"/>
    <w:pPr>
      <w:adjustRightInd w:val="0"/>
    </w:pPr>
    <w:rPr>
      <w:rFonts w:ascii="Tahoma" w:hAnsi="Tahoma" w:eastAsia="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一个单位文件（201412）</Template>
  <Company>家用电脑</Company>
  <Pages>4</Pages>
  <Words>1828</Words>
  <Characters>1945</Characters>
  <Lines>52</Lines>
  <Paragraphs>14</Paragraphs>
  <TotalTime>0</TotalTime>
  <ScaleCrop>false</ScaleCrop>
  <LinksUpToDate>false</LinksUpToDate>
  <CharactersWithSpaces>1958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2017-02-15T14:50:00Z</dcterms:created>
  <dc:creator>y</dc:creator>
  <cp:lastModifiedBy>HP</cp:lastModifiedBy>
  <cp:lastPrinted>2017-04-22T15:44:00Z</cp:lastPrinted>
  <dcterms:modified xsi:type="dcterms:W3CDTF">2023-04-07T02:17:52Z</dcterms:modified>
  <dc:title>益财会〔2002〕4号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AF89115473EB4D14AD9A4EBDBE6E850E</vt:lpwstr>
  </property>
</Properties>
</file>