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2050199</w:t>
      </w:r>
      <w:r>
        <w:rPr>
          <w:rFonts w:hint="eastAsia" w:ascii="仿宋_GB2312" w:hAnsi="仿宋_GB2312" w:eastAsia="仿宋_GB2312" w:cs="仿宋_GB2312"/>
          <w:szCs w:val="32"/>
          <w:lang w:eastAsia="zh-CN"/>
        </w:rPr>
        <w:t>）其他教育管理事务支出共计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元，其中党建工作经费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元;区直党(工)委党员活动经费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元，其中上年结转2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1万</w:t>
      </w:r>
      <w:r>
        <w:rPr>
          <w:rFonts w:hint="eastAsia" w:ascii="仿宋_GB2312" w:hAnsi="仿宋_GB2312" w:eastAsia="仿宋_GB2312" w:cs="仿宋_GB2312"/>
          <w:szCs w:val="32"/>
          <w:lang w:val="en-US" w:eastAsia="zh-CN"/>
        </w:rPr>
        <w:t>元，本年收到财政拨款2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070BC"/>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D00E6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1C37D4"/>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40905"/>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606335"/>
    <w:rsid w:val="2F836428"/>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4B4837"/>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50678B"/>
    <w:rsid w:val="38766CC9"/>
    <w:rsid w:val="38984CBA"/>
    <w:rsid w:val="38B50198"/>
    <w:rsid w:val="38F60B7D"/>
    <w:rsid w:val="393A0EED"/>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BB0912"/>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77002E"/>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B24359"/>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124BC3"/>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996455"/>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C7102A"/>
    <w:rsid w:val="5ED722F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CB2E86"/>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6C1462"/>
    <w:rsid w:val="736E234A"/>
    <w:rsid w:val="739549D7"/>
    <w:rsid w:val="73A12D22"/>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6F265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2022-09-29T09:03:52Z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