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江尾小学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1.学生营养改善计划专项资金：我校根据教育统计学生人数181人，按照每人每天4元，每年200天计算学生营养改善计划专项资金，共计14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48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2.安保经费：保安人员做到防火、防盗、防泄密等保安工作，排除安全隐患，确保校园无安全事故。学校共有3名保安，按照每人每月3420元工资，每人每年1000元装备费，一年12个月进行项目预算，保安服务费共计12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.绿化管养经费：为加强昆明市呈贡区江尾小学绿化的养护管理，包括修剪、施肥、除草、病虫害防治、浇水进行为期一年的管理养护。师专附小呈贡分校与江尾小学合作办学，共享教育教学资源，绿化面积5700平方米，杀虫农业3次，每次680元，合计2040元；打农药机械费及人工3次，每次500元，合计1500元；尿素12包，每包105元，合计1260元；修枝剪造型40工时，每工时120元，合计4800元；剪草机用油4桶，每桶280元；爆石灰5袋，每袋30元，合计150元；其他零星材料700元；税费2590元；人工费642工时，每工时70元，合计15140元，明细相加全部共计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4.我校按照两级报表上报的学生人数181人，每人每年100元的学生用书标准上报预算，共计需要1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5.办公网络经费：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络带宽为40兆，全年费用为：4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6.义务教育公用经费中央资金：8.91万元，用于支付全年水电费、教师培训费、教师用书、学生用书，购置办公用品、办公设施设备等支出。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7.特殊教育公用经费中央资金：0.48万元全部用于帮助特殊学生李思锦同学购买人工耳蜗配件。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年初计划所有项目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100%实现支出，年末实际完成情况100%，详情如下：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1.学生营养改善计划专项资金预计支出14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48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元，实际支出8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18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元，根据上级要求，优先使用经费账户营养餐奖补资金，所以按照市级支出，进行了6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元的调减：调减资金2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用于全年全校电子设施设备维修，3</w:t>
      </w:r>
      <w:r>
        <w:rPr>
          <w:rFonts w:hint="eastAsia" w:ascii="仿宋_GB2312" w:hAnsi="仿宋_GB2312" w:cs="仿宋_GB2312"/>
          <w:szCs w:val="32"/>
          <w:lang w:val="en-US" w:eastAsia="zh-CN"/>
        </w:rPr>
        <w:t>.5万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元用于校园地面、教室、楼梯间做地面修复。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2.安保经费：年初预计支出12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元，实际支出12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3.绿化管养经费：年初预计支出3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4.中小学教科书经费：年初预计支出1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元，实际支出1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81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5.办公网络经费：年初预算支出4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32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元，实际支出4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32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6.义务教育公用经费中央资金：全部支出8.91万元，无结余。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7.特殊教育公用经费中央资金：全部支出0.48万元，无结余。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1.对上级拨入的项目经费、专项拨款做到及时入账，及时上缴学校财务专户，不私设小金库。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2.对照项目绩效目标，对本单位所负责项目的执行过程以及资金使用、管理等情况进行有效的跟踪监控，确保项目执行不发生偏离。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3.按要求组织本单位及所属项目实施单位，对照项目绩效目标，定期采集分析项目绩效指标数据信息，及时分析项目实施进程、资金拨付与绩效目标实现进度，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跟踪监控绩效目标运行情况。根据绩效目标、预算编制、预算执行等对项目执行进度、绩效目标实现程度进行跟踪监控管理。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项目绩效目标，对本单位所负责项目的执行过程以及资金使用、管理等情况进行有效的跟踪监控，确保项目执行不发生偏离。按要求组织本单位及所属项目实施单位，对照项目绩效目标，定期采集分析项目绩效指标数据信息，及时分析项目实施进程、资金拨付与绩效目标实现进度，跟踪监控绩效目标运行情况。 根据绩效目标、预算编制、预算执行等对项目执行进度、绩效目标实现程度进行跟踪监控管理。</w:t>
      </w:r>
      <w:r>
        <w:rPr>
          <w:rFonts w:hint="eastAsia" w:ascii="仿宋_GB2312" w:hAnsi="仿宋_GB2312" w:eastAsia="仿宋_GB2312" w:cs="仿宋_GB2312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</w:t>
      </w:r>
      <w:r>
        <w:rPr>
          <w:rFonts w:hint="eastAsia" w:ascii="黑体" w:hAnsi="黑体" w:eastAsia="黑体" w:cs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经济性分析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2021年预算收入60.44万元，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61.80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万元，结余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效率性分析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：效益方面有待提高，全年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1-9月份未完成预算执行进度，但完成全年预算支出进度。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效益性分析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：全年总支出与预期完成目标程度达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100%，基本支出与项目支出最大程度的提高了师生工作、学习的便利性、完善了硬件设施。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五</w:t>
      </w:r>
      <w:r>
        <w:rPr>
          <w:rFonts w:hint="eastAsia" w:ascii="黑体" w:hAnsi="黑体" w:eastAsia="黑体" w:cs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专项立项依据充分；有资金管理办法，资金管理办法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Cs w:val="32"/>
        </w:rPr>
        <w:t>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Cs w:val="32"/>
        </w:rPr>
        <w:t>资金使用合规，无截留、挪用等现象，资金使用产生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了相对应的</w:t>
      </w:r>
      <w:r>
        <w:rPr>
          <w:rFonts w:hint="eastAsia" w:ascii="仿宋_GB2312" w:hAnsi="仿宋_GB2312" w:eastAsia="仿宋_GB2312" w:cs="仿宋_GB2312"/>
          <w:szCs w:val="32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</w:t>
      </w:r>
      <w:r>
        <w:rPr>
          <w:rFonts w:hint="eastAsia" w:ascii="黑体" w:hAnsi="黑体" w:eastAsia="黑体" w:cs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每年年初项目预算做到精准，提前准备项目参数、考察项目可行性，通过项目绩效评价小组综合评价。按时效执行2022年项目绩效工作。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改进单位项目施工时效，加快每一季度的预算执行进度。</w:t>
      </w:r>
    </w:p>
    <w:p>
      <w:pPr>
        <w:numPr>
          <w:ilvl w:val="0"/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</w:p>
    <w:bookmarkEnd w:id="0"/>
    <w:p>
      <w:pPr>
        <w:numPr>
          <w:ilvl w:val="0"/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                                         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A8470"/>
    <w:multiLevelType w:val="singleLevel"/>
    <w:tmpl w:val="E2FA84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FE5727"/>
    <w:multiLevelType w:val="singleLevel"/>
    <w:tmpl w:val="79FE57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GM3NjhhYjk2MDU5ZmY3YmVkYjVhZTY1NDM4NGMifQ=="/>
  </w:docVars>
  <w:rsids>
    <w:rsidRoot w:val="00000000"/>
    <w:rsid w:val="05AE36CA"/>
    <w:rsid w:val="14EB420F"/>
    <w:rsid w:val="1FEA338B"/>
    <w:rsid w:val="304A606D"/>
    <w:rsid w:val="36BD59A4"/>
    <w:rsid w:val="378A5996"/>
    <w:rsid w:val="4B122724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1983</Characters>
  <Lines>0</Lines>
  <Paragraphs>0</Paragraphs>
  <TotalTime>19</TotalTime>
  <ScaleCrop>false</ScaleCrop>
  <LinksUpToDate>false</LinksUpToDate>
  <CharactersWithSpaces>2058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2021-03-18T05:03:00Z</cp:lastPrinted>
  <dcterms:modified xsi:type="dcterms:W3CDTF">2022-09-29T03:30:47Z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75720FA4996B47AC941A715E164706F6</vt:lpwstr>
  </property>
</Properties>
</file>