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昆明滇池国家旅游度假区大渔幼儿园幼儿足球场地建设经费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根据昆明市呈贡区财政局呈财文件《关于对2021年度预算支出看展绩效自评工作的通知》的要求，我园运用科学、合理的绩效评价指标、评价标准和评价方法，对本单位的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val="en-US" w:eastAsia="zh-CN"/>
        </w:rPr>
        <w:t>幼儿足球场地建设经费</w:t>
      </w:r>
      <w:r>
        <w:rPr>
          <w:rFonts w:hint="eastAsia" w:ascii="仿宋_GB2312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大渔幼儿园</w:t>
      </w:r>
      <w:r>
        <w:rPr>
          <w:rFonts w:hint="eastAsia" w:ascii="仿宋_GB2312"/>
          <w:szCs w:val="32"/>
          <w:lang w:val="en-US" w:eastAsia="zh-CN"/>
        </w:rPr>
        <w:t>幼儿足球场地建设经费</w:t>
      </w:r>
      <w:r>
        <w:rPr>
          <w:rFonts w:hint="eastAsia" w:ascii="仿宋_GB2312"/>
          <w:szCs w:val="32"/>
          <w:lang w:eastAsia="zh-CN"/>
        </w:rPr>
        <w:t>由财政全额拨款，</w:t>
      </w:r>
      <w:r>
        <w:rPr>
          <w:rFonts w:hint="eastAsia" w:ascii="仿宋_GB2312"/>
          <w:szCs w:val="32"/>
          <w:lang w:val="en-US" w:eastAsia="zh-CN"/>
        </w:rPr>
        <w:t>足共计6.02万元。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足球场地建设经费主要用于幼儿足球场地建设，通过开展足球运动游戏或比赛，促进幼儿的智力发展及身体素质全面发展。在游戏过程中，提高幼儿观察、思考、判断等能力，同时锻炼幼儿的腿部肌肉，提高其腿部骨骼的坚固性，增强各关节的稳固性、灵活性。另外，通过足球运动提高可幼儿情商，在足球游戏或比赛过程中，锻炼幼儿意志力、责任感、沟通能力、抗压能力、团队合作意识、勇于拼搏意识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我园结合幼儿园实际，通过询价选定足球场建设方修建了幼儿足球场，并定期聘请专业的足球课教练开展特色足球课，幼儿对足球活动具有浓厚的兴趣，并具备了初步的足球技能。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2020年10月份进行2021年预算，2021年预算资金下达后我园按照年初预算安排，项目前期根据园务委员会决议按照进度执行，项目中期对相关项目进行监督，项目完成后对项目进行验收，验收合格后进行款项支付，截至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我园幼儿足球场地建设经费按照专款专用的原则，严格加强项目资金使用的监督检查，切实提高项目资金的使用效益，达到政府采购标准的严格按照政府采购的相关规定执行。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Cs w:val="32"/>
        </w:rPr>
        <w:t>此项资金用于</w:t>
      </w:r>
      <w:r>
        <w:rPr>
          <w:rFonts w:hint="eastAsia" w:ascii="仿宋_GB2312" w:hAnsi="仿宋_GB2312" w:cs="仿宋_GB2312"/>
          <w:szCs w:val="32"/>
          <w:lang w:val="en-US" w:eastAsia="zh-CN"/>
        </w:rPr>
        <w:t>幼儿足球场地建设，项目依据幼儿园三重一大制度执行。项目开展前有计划和目标、过程有监督、项目结束后有评价。并建立了健全的管理制度，严格按照国家相关规定对资金进行管理，并及时公开相关信息。项目资金的使用达到了预期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年初预算</w:t>
      </w:r>
      <w:r>
        <w:rPr>
          <w:rFonts w:hint="eastAsia" w:ascii="仿宋_GB2312"/>
          <w:szCs w:val="32"/>
          <w:lang w:val="en-US" w:eastAsia="zh-CN"/>
        </w:rPr>
        <w:t>幼儿</w:t>
      </w:r>
      <w:r>
        <w:rPr>
          <w:rFonts w:hint="eastAsia" w:ascii="仿宋_GB2312"/>
          <w:szCs w:val="32"/>
        </w:rPr>
        <w:t>足球场地建设经费6.02万元，财政全额拨付到账。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幼儿园保教质量稳步提升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园幼儿足球场地建设经费</w:t>
      </w:r>
      <w:r>
        <w:rPr>
          <w:rFonts w:hint="eastAsia" w:ascii="仿宋_GB2312"/>
          <w:szCs w:val="32"/>
        </w:rPr>
        <w:t>按照专款专用的原则，严格加强项目资金使用的监督检查，切实提高项目资金的使用效益，</w:t>
      </w:r>
      <w:r>
        <w:rPr>
          <w:rFonts w:hint="eastAsia" w:ascii="仿宋_GB2312"/>
          <w:szCs w:val="32"/>
          <w:lang w:val="en-US" w:eastAsia="zh-CN"/>
        </w:rPr>
        <w:t>提高了幼儿对足球活动的兴趣，并具备了初步的足球技能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 w:firstLine="0" w:firstLineChars="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主要经验做法、改进措施和有关建议等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5AE36CA"/>
    <w:rsid w:val="0A614CA8"/>
    <w:rsid w:val="1F420031"/>
    <w:rsid w:val="2F55694E"/>
    <w:rsid w:val="32C901D0"/>
    <w:rsid w:val="35D9267E"/>
    <w:rsid w:val="35DF2155"/>
    <w:rsid w:val="378A5996"/>
    <w:rsid w:val="38D35896"/>
    <w:rsid w:val="48524506"/>
    <w:rsid w:val="52CC1208"/>
    <w:rsid w:val="57A10204"/>
    <w:rsid w:val="5A3C6978"/>
    <w:rsid w:val="5C5D48E3"/>
    <w:rsid w:val="5E6F5C52"/>
    <w:rsid w:val="66643743"/>
    <w:rsid w:val="67600811"/>
    <w:rsid w:val="71031DE6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1506</Words>
  <Characters>1540</Characters>
  <Lines>0</Lines>
  <Paragraphs>0</Paragraphs>
  <TotalTime>32</TotalTime>
  <ScaleCrop>false</ScaleCrop>
  <LinksUpToDate>false</LinksUpToDate>
  <CharactersWithSpaces>1544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2022-09-29T03:10:54Z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BFB6750054EC468E8F058970F81AF236</vt:lpwstr>
  </property>
</Properties>
</file>