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left"/>
        <w:rPr>
          <w:rFonts w:hint="eastAsia" w:ascii="方正小标宋_GBK" w:eastAsia="方正小标宋_GBK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昆明市呈贡区第一中学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校园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垃圾  清运服务、绿化保洁、安保经费等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项目支出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绩效评价报告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Cs w:val="32"/>
        </w:rPr>
      </w:pPr>
    </w:p>
    <w:p>
      <w:pPr>
        <w:topLinePunct/>
        <w:ind w:firstLine="60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ind w:firstLine="300" w:firstLineChars="100"/>
        <w:rPr>
          <w:rFonts w:hint="eastAsia" w:ascii="方正楷体_GBK" w:hAnsi="方正楷体_GBK" w:eastAsia="方正楷体_GBK" w:cs="方正楷体_GBK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（一）项目基本情况简介</w:t>
      </w:r>
    </w:p>
    <w:p>
      <w:pPr>
        <w:spacing w:line="57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入贯彻落实党的十八大精神，紧紧围绕维护全市社会治安大局稳定的中心任务，将校园安全纳入社会治安防控体系建设、平安建设的重要内容，全面加强校园的人防、物防、技防、制度防“四防”建设，有效提升校园安全防范能力，确保全市校园长治久安。</w:t>
      </w:r>
    </w:p>
    <w:p>
      <w:pPr>
        <w:ind w:firstLine="300" w:firstLineChars="100"/>
        <w:rPr>
          <w:rFonts w:hint="default"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Cs w:val="32"/>
        </w:rPr>
        <w:t>绩效目标设定及指标完成情况</w:t>
      </w:r>
    </w:p>
    <w:p>
      <w:pPr>
        <w:spacing w:line="570" w:lineRule="exact"/>
        <w:ind w:firstLine="600" w:firstLineChars="20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我校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结合本地校园实际，科学制定校园安全防范建设方案，确保方案严密性、实用性和可操作性。以校园重要部位、易发案部位为重点，注重整体防控，强化各类科技手段、装备产品在校园安全防范中的应用，综合应用人防、物防、技防等多种措施，加强校园治安防控网络建设，实现安防措施对本地校园全覆盖。</w:t>
      </w:r>
    </w:p>
    <w:p>
      <w:pPr>
        <w:numPr>
          <w:ilvl w:val="0"/>
          <w:numId w:val="0"/>
        </w:numPr>
        <w:ind w:firstLine="600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我校在</w:t>
      </w:r>
      <w:r>
        <w:rPr>
          <w:rFonts w:hint="default" w:ascii="Times New Roman" w:hAnsi="Times New Roman" w:cs="Times New Roman"/>
          <w:szCs w:val="32"/>
          <w:lang w:val="en-US" w:eastAsia="zh-CN"/>
        </w:rPr>
        <w:t>2020年10月份进行2021年预算，2021年预算资金下达后我校按照年初预算安排，项目前期根据学校校委会决议按照进度执行，项目中期对相关项目进行监督，项目完成后对项目进行验收，验收合格后进行款项支付，截止年末，项目执行率为100%。</w:t>
      </w:r>
    </w:p>
    <w:p>
      <w:pPr>
        <w:topLinePunct/>
        <w:ind w:firstLine="60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eastAsia" w:eastAsia="黑体" w:cs="Times New Roman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Cs w:val="32"/>
        </w:rPr>
        <w:t>项目资金使用及管理情况</w:t>
      </w:r>
    </w:p>
    <w:p>
      <w:pPr>
        <w:ind w:firstLine="600" w:firstLineChars="200"/>
        <w:jc w:val="left"/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我校按照年初项目预算，</w:t>
      </w:r>
      <w:r>
        <w:rPr>
          <w:rFonts w:hint="default" w:ascii="Times New Roman" w:hAnsi="Times New Roman" w:cs="Times New Roman"/>
          <w:szCs w:val="32"/>
          <w:lang w:val="en-US" w:eastAsia="zh-CN"/>
        </w:rPr>
        <w:t>校园安全相关经费用于购买保安服务、保安装备及学校安全设施设备；垃圾清运专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项资金用于支付呈贡区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市政管理综合服务中心的</w:t>
      </w:r>
      <w:r>
        <w:rPr>
          <w:rFonts w:hint="default" w:ascii="Times New Roman" w:hAnsi="Times New Roman" w:cs="Times New Roman"/>
          <w:sz w:val="32"/>
          <w:szCs w:val="32"/>
        </w:rPr>
        <w:t>垃圾清运服务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费用等，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项目资金专款专用。</w:t>
      </w:r>
    </w:p>
    <w:p>
      <w:pPr>
        <w:numPr>
          <w:ilvl w:val="0"/>
          <w:numId w:val="0"/>
        </w:numPr>
        <w:ind w:firstLine="60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我校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校园安全相关经费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按照专款专用的原则，严格加强项目资金使用的监督检查，切实提高项目资金的使用效益，达到政府采购标准的严格按照政府采购的相关规定执行。</w:t>
      </w:r>
    </w:p>
    <w:p>
      <w:pPr>
        <w:topLinePunct/>
        <w:ind w:firstLine="600" w:firstLineChars="200"/>
        <w:rPr>
          <w:rFonts w:hint="default" w:eastAsia="黑体" w:cs="Times New Roman"/>
          <w:szCs w:val="32"/>
          <w:lang w:val="en-US" w:eastAsia="zh-CN"/>
        </w:rPr>
      </w:pPr>
      <w:r>
        <w:rPr>
          <w:rFonts w:hint="eastAsia" w:eastAsia="黑体" w:cs="Times New Roman"/>
          <w:szCs w:val="32"/>
          <w:lang w:val="en-US" w:eastAsia="zh-CN"/>
        </w:rPr>
        <w:t>三、</w:t>
      </w:r>
      <w:r>
        <w:rPr>
          <w:rFonts w:hint="default" w:eastAsia="黑体" w:cs="Times New Roman"/>
          <w:szCs w:val="32"/>
          <w:lang w:val="en-US" w:eastAsia="zh-CN"/>
        </w:rPr>
        <w:t>项目组织实施情况</w:t>
      </w:r>
    </w:p>
    <w:p>
      <w:pPr>
        <w:numPr>
          <w:ilvl w:val="0"/>
          <w:numId w:val="0"/>
        </w:numPr>
        <w:ind w:firstLine="600" w:firstLineChars="200"/>
        <w:rPr>
          <w:rFonts w:hint="eastAsia" w:ascii="Times New Roman" w:hAnsi="Times New Roman" w:eastAsia="仿宋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/>
          <w:szCs w:val="32"/>
          <w:highlight w:val="none"/>
        </w:rPr>
        <w:t>前期准备</w:t>
      </w:r>
    </w:p>
    <w:p>
      <w:pPr>
        <w:numPr>
          <w:ilvl w:val="0"/>
          <w:numId w:val="0"/>
        </w:numPr>
        <w:ind w:firstLine="600" w:firstLineChars="200"/>
        <w:rPr>
          <w:rFonts w:hint="default" w:ascii="Times New Roman" w:hAnsi="Times New Roman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我校成立了由校长任组长、总务主任任副组长、教导主任、校委会为成员的领导小组，明确相关人员职责，通过前期会议讨论项目实施细则，制定项目实施方案，保障项目的实施。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cs="Times New Roman"/>
          <w:szCs w:val="32"/>
          <w:highlight w:val="none"/>
        </w:rPr>
        <w:t>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default" w:ascii="Times New Roman" w:hAnsi="Times New Roman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此项资金用于购买保安服务、保安装备及校园安全设施设备等，学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topLinePunct/>
        <w:ind w:firstLine="600" w:firstLineChars="200"/>
        <w:rPr>
          <w:rFonts w:hint="default" w:eastAsia="黑体" w:cs="Times New Roman"/>
          <w:szCs w:val="32"/>
          <w:lang w:val="en-US" w:eastAsia="zh-CN"/>
        </w:rPr>
      </w:pPr>
      <w:r>
        <w:rPr>
          <w:rFonts w:hint="eastAsia" w:eastAsia="黑体" w:cs="Times New Roman"/>
          <w:szCs w:val="32"/>
          <w:lang w:val="en-US" w:eastAsia="zh-CN"/>
        </w:rPr>
        <w:t>四、</w:t>
      </w:r>
      <w:r>
        <w:rPr>
          <w:rFonts w:hint="default" w:eastAsia="黑体" w:cs="Times New Roman"/>
          <w:szCs w:val="32"/>
          <w:lang w:val="en-US" w:eastAsia="zh-CN"/>
        </w:rPr>
        <w:t>项目绩效情况</w:t>
      </w:r>
    </w:p>
    <w:p>
      <w:pPr>
        <w:ind w:firstLine="600" w:firstLineChars="200"/>
        <w:rPr>
          <w:rFonts w:hint="default" w:ascii="方正楷体_GBK" w:hAnsi="方正楷体_GBK" w:eastAsia="方正楷体_GBK" w:cs="方正楷体_GBK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Cs w:val="32"/>
          <w:lang w:eastAsia="zh-CN"/>
        </w:rPr>
        <w:t>项目资金情况分析</w:t>
      </w:r>
    </w:p>
    <w:p>
      <w:pPr>
        <w:ind w:firstLine="600" w:firstLineChars="200"/>
        <w:outlineLvl w:val="0"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我校年初预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算学校安保经费57.38万元、校园绿化保洁经费52.14万元 、校园垃圾清运服务专项资金14.53万元，财政全额拨付到账。</w:t>
      </w:r>
    </w:p>
    <w:p>
      <w:pPr>
        <w:ind w:firstLine="600" w:firstLineChars="200"/>
        <w:rPr>
          <w:rFonts w:hint="default" w:ascii="方正楷体_GBK" w:hAnsi="方正楷体_GBK" w:eastAsia="方正楷体_GBK" w:cs="方正楷体_GBK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Cs w:val="32"/>
          <w:lang w:eastAsia="zh-CN"/>
        </w:rPr>
        <w:t>项目实施情况分析</w:t>
      </w:r>
    </w:p>
    <w:p>
      <w:pPr>
        <w:numPr>
          <w:ilvl w:val="0"/>
          <w:numId w:val="0"/>
        </w:numPr>
        <w:ind w:firstLine="600" w:firstLineChars="200"/>
        <w:outlineLvl w:val="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/>
          <w:szCs w:val="32"/>
          <w:highlight w:val="none"/>
        </w:rPr>
        <w:t>项目组织情况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及管理情况分析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0"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我校按照年初预算计划实施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,根据单位主要负责人组织的相关会议按照相关财务要求严格执行，项目实施前期认真筹措，项目实施时期认真监督，项目完成后认真验收，确保学校持续安全稳定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ind w:firstLine="600" w:firstLineChars="200"/>
        <w:rPr>
          <w:rFonts w:hint="default" w:ascii="方正楷体_GBK" w:hAnsi="方正楷体_GBK" w:eastAsia="方正楷体_GBK" w:cs="方正楷体_GBK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Cs w:val="32"/>
          <w:lang w:eastAsia="zh-CN"/>
        </w:rPr>
        <w:t>（三）项目绩效情况分析</w:t>
      </w:r>
    </w:p>
    <w:p>
      <w:pPr>
        <w:ind w:firstLine="600" w:firstLineChars="200"/>
        <w:outlineLvl w:val="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1.项目经济性分析</w:t>
      </w:r>
    </w:p>
    <w:p>
      <w:pPr>
        <w:ind w:firstLine="600" w:firstLineChars="200"/>
        <w:outlineLvl w:val="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学校按照“先有预算、后有支出”的原则，严格按照年初预算资金结合实际情况开展工作。到第四季度项目执行进度达到</w:t>
      </w:r>
      <w:r>
        <w:rPr>
          <w:rFonts w:hint="default" w:ascii="Times New Roman" w:hAnsi="Times New Roman" w:cs="Times New Roman"/>
          <w:szCs w:val="32"/>
          <w:lang w:val="en-US" w:eastAsia="zh-CN"/>
        </w:rPr>
        <w:t>100%。</w:t>
      </w:r>
    </w:p>
    <w:p>
      <w:pPr>
        <w:numPr>
          <w:ilvl w:val="0"/>
          <w:numId w:val="0"/>
        </w:numPr>
        <w:ind w:leftChars="0" w:firstLine="600" w:firstLineChars="200"/>
        <w:outlineLvl w:val="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Cs w:val="32"/>
        </w:rPr>
        <w:t>项目的效率性分析</w:t>
      </w:r>
    </w:p>
    <w:p>
      <w:pPr>
        <w:numPr>
          <w:ilvl w:val="0"/>
          <w:numId w:val="0"/>
        </w:numPr>
        <w:ind w:leftChars="0" w:firstLine="600" w:firstLineChars="200"/>
        <w:outlineLvl w:val="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我单位在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项目资金足额下达后，严格项目支出进度，保障项目完成质量。</w:t>
      </w:r>
    </w:p>
    <w:p>
      <w:pPr>
        <w:numPr>
          <w:ilvl w:val="0"/>
          <w:numId w:val="0"/>
        </w:numPr>
        <w:ind w:leftChars="0" w:firstLine="600" w:firstLineChars="200"/>
        <w:outlineLvl w:val="0"/>
        <w:rPr>
          <w:rFonts w:hint="eastAsia" w:ascii="Times New Roman" w:hAnsi="Times New Roman" w:eastAsia="仿宋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szCs w:val="32"/>
        </w:rPr>
        <w:t>项目的效益性分析</w:t>
      </w:r>
    </w:p>
    <w:p>
      <w:pPr>
        <w:numPr>
          <w:ilvl w:val="0"/>
          <w:numId w:val="0"/>
        </w:numPr>
        <w:tabs>
          <w:tab w:val="left" w:pos="658"/>
        </w:tabs>
        <w:ind w:leftChars="0" w:firstLine="600" w:firstLineChars="200"/>
        <w:outlineLvl w:val="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我校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校园安全相关</w:t>
      </w:r>
      <w:r>
        <w:rPr>
          <w:rFonts w:hint="default" w:ascii="Times New Roman" w:hAnsi="Times New Roman" w:cs="Times New Roman"/>
          <w:szCs w:val="32"/>
          <w:lang w:val="en-US" w:eastAsia="zh-CN"/>
        </w:rPr>
        <w:t>经费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按照专款专用的原则，严格加强项目资金使用的监督检查，切实提高项目资金的使用效益，</w:t>
      </w:r>
      <w:r>
        <w:rPr>
          <w:rFonts w:hint="default" w:ascii="Times New Roman" w:hAnsi="Times New Roman" w:cs="Times New Roman"/>
          <w:szCs w:val="32"/>
          <w:lang w:val="en-US" w:eastAsia="zh-CN"/>
        </w:rPr>
        <w:t>为学生营造了一个安全和谐的教育教学环境。</w:t>
      </w:r>
    </w:p>
    <w:p>
      <w:pPr>
        <w:numPr>
          <w:ilvl w:val="0"/>
          <w:numId w:val="0"/>
        </w:numPr>
        <w:topLinePunct/>
        <w:ind w:left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方正楷体_GBK" w:hAnsi="方正楷体_GBK" w:eastAsia="方正楷体_GBK" w:cs="方正楷体_GBK"/>
          <w:szCs w:val="32"/>
          <w:lang w:val="en-US" w:eastAsia="zh-CN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方正楷体_GBK" w:hAnsi="方正楷体_GBK" w:eastAsia="方正楷体_GBK" w:cs="方正楷体_GBK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Cs w:val="32"/>
          <w:lang w:val="en-US" w:eastAsia="zh-CN"/>
        </w:rPr>
        <w:t>（二）资金分配方面的问题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方正楷体_GBK" w:hAnsi="方正楷体_GBK" w:eastAsia="方正楷体_GBK" w:cs="方正楷体_GBK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szCs w:val="32"/>
          <w:lang w:val="en-US" w:eastAsia="zh-CN"/>
        </w:rPr>
        <w:t>资金拨付方面的问题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方正楷体_GBK" w:hAnsi="方正楷体_GBK" w:eastAsia="方正楷体_GBK" w:cs="方正楷体_GBK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（四）</w:t>
      </w:r>
      <w:r>
        <w:rPr>
          <w:rFonts w:hint="default" w:ascii="方正楷体_GBK" w:hAnsi="方正楷体_GBK" w:eastAsia="方正楷体_GBK" w:cs="方正楷体_GBK"/>
          <w:szCs w:val="32"/>
          <w:lang w:val="en-US" w:eastAsia="zh-CN"/>
        </w:rPr>
        <w:t>资金使用方面的问题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资金使用合规，无截留、挪用等现象，资金使用产生效益等。</w:t>
      </w:r>
    </w:p>
    <w:p>
      <w:pPr>
        <w:topLinePunct/>
        <w:ind w:firstLine="60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</w:p>
    <w:p>
      <w:pPr>
        <w:ind w:firstLine="60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60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jc w:val="right"/>
      </w:pPr>
      <w:bookmarkStart w:id="0" w:name="_GoBack"/>
      <w:bookmarkEnd w:id="0"/>
    </w:p>
    <w:p/>
    <w:sectPr>
      <w:footerReference r:id="rId3" w:type="default"/>
      <w:footerReference r:id="rId4" w:type="even"/>
      <w:pgSz w:w="11907" w:h="16840"/>
      <w:pgMar w:top="1757" w:right="1757" w:bottom="1757" w:left="1757" w:header="851" w:footer="1304" w:gutter="0"/>
      <w:cols w:space="720" w:num="1"/>
      <w:rtlGutter w:val="0"/>
      <w:docGrid w:type="linesAndChars" w:linePitch="587" w:charSpace="-41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35"/>
      <w:rPr>
        <w:rStyle w:val="5"/>
        <w:rFonts w:ascii="宋体" w:hAnsi="宋体" w:eastAsia="宋体"/>
        <w:sz w:val="28"/>
      </w:rPr>
    </w:pPr>
    <w:r>
      <w:rPr>
        <w:rStyle w:val="5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11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ascii="宋体" w:hAnsi="宋体" w:eastAsia="宋体"/>
        <w:sz w:val="28"/>
      </w:rPr>
      <w:t>—</w:t>
    </w:r>
  </w:p>
  <w:p>
    <w:pPr>
      <w:pStyle w:val="2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35"/>
      <w:rPr>
        <w:rStyle w:val="5"/>
        <w:rFonts w:ascii="宋体" w:hAnsi="宋体" w:eastAsia="宋体"/>
        <w:sz w:val="28"/>
      </w:rPr>
    </w:pPr>
    <w:r>
      <w:rPr>
        <w:rStyle w:val="5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12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ascii="宋体" w:hAnsi="宋体" w:eastAsia="宋体"/>
        <w:sz w:val="28"/>
      </w:rPr>
      <w:t>—</w:t>
    </w:r>
  </w:p>
  <w:p>
    <w:pPr>
      <w:pStyle w:val="2"/>
      <w:ind w:left="300"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D5994"/>
    <w:rsid w:val="08900EB7"/>
    <w:rsid w:val="285A7371"/>
    <w:rsid w:val="2DF44E9A"/>
    <w:rsid w:val="331D2E03"/>
    <w:rsid w:val="364D5994"/>
    <w:rsid w:val="796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2022-03-22T07:26:00Z</dcterms:created>
  <dc:creator>CW</dc:creator>
  <cp:lastModifiedBy>Administrator</cp:lastModifiedBy>
  <dcterms:modified xsi:type="dcterms:W3CDTF">2022-09-29T01:56:31Z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479A9B7D53104D92B90F089EF8930874</vt:lpwstr>
  </property>
</Properties>
</file>