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DE2F9" w14:textId="77777777" w:rsidR="008919F4" w:rsidRPr="00E41D61" w:rsidRDefault="00000000">
      <w:pPr>
        <w:rPr>
          <w:rFonts w:ascii="方正小标宋简体" w:eastAsia="方正小标宋简体" w:hint="eastAsia"/>
          <w:sz w:val="44"/>
          <w:szCs w:val="44"/>
        </w:rPr>
      </w:pPr>
      <w:r>
        <w:rPr>
          <w:rFonts w:ascii="黑体" w:eastAsia="黑体" w:hint="eastAsia"/>
          <w:szCs w:val="32"/>
        </w:rPr>
        <w:t>附件4-2</w:t>
      </w:r>
      <w:r>
        <w:rPr>
          <w:rFonts w:ascii="黑体" w:eastAsia="黑体"/>
          <w:szCs w:val="32"/>
        </w:rPr>
        <w:t>:</w:t>
      </w:r>
    </w:p>
    <w:p w14:paraId="78495574" w14:textId="77777777" w:rsidR="008919F4" w:rsidRDefault="008919F4">
      <w:pPr>
        <w:rPr>
          <w:rFonts w:ascii="黑体" w:eastAsia="黑体"/>
          <w:szCs w:val="32"/>
        </w:rPr>
      </w:pPr>
    </w:p>
    <w:p w14:paraId="30602BAB" w14:textId="4DF910B3" w:rsidR="008919F4" w:rsidRPr="00E41D61" w:rsidRDefault="00000000">
      <w:pPr>
        <w:spacing w:line="600" w:lineRule="exact"/>
        <w:jc w:val="center"/>
        <w:rPr>
          <w:rFonts w:ascii="方正小标宋简体" w:eastAsia="方正小标宋简体" w:hint="eastAsia"/>
          <w:sz w:val="44"/>
          <w:szCs w:val="44"/>
        </w:rPr>
      </w:pPr>
      <w:r w:rsidRPr="00E41D61">
        <w:rPr>
          <w:rFonts w:ascii="方正小标宋简体" w:eastAsia="方正小标宋简体" w:hint="eastAsia"/>
          <w:sz w:val="44"/>
          <w:szCs w:val="44"/>
        </w:rPr>
        <w:t>昆明市呈贡区第三小学项目支出绩效报告</w:t>
      </w:r>
      <w:r w:rsidR="00E41D61">
        <w:rPr>
          <w:rFonts w:ascii="方正小标宋简体" w:eastAsia="方正小标宋简体" w:hint="eastAsia"/>
          <w:sz w:val="44"/>
          <w:szCs w:val="44"/>
        </w:rPr>
        <w:t xml:space="preserve"> </w:t>
      </w:r>
      <w:r w:rsidRPr="00E41D61">
        <w:rPr>
          <w:rFonts w:ascii="方正小标宋简体" w:eastAsia="方正小标宋简体" w:hint="eastAsia"/>
          <w:sz w:val="44"/>
          <w:szCs w:val="44"/>
        </w:rPr>
        <w:t>（自评）</w:t>
      </w:r>
    </w:p>
    <w:p w14:paraId="74780194" w14:textId="77777777" w:rsidR="008919F4" w:rsidRPr="00E41D61" w:rsidRDefault="008919F4">
      <w:pPr>
        <w:spacing w:line="600" w:lineRule="exact"/>
        <w:ind w:firstLineChars="200" w:firstLine="837"/>
        <w:rPr>
          <w:rFonts w:ascii="仿宋_GB2312"/>
          <w:b/>
          <w:sz w:val="44"/>
          <w:szCs w:val="44"/>
        </w:rPr>
      </w:pPr>
    </w:p>
    <w:p w14:paraId="3AE18F64" w14:textId="77777777" w:rsidR="008919F4" w:rsidRDefault="00000000">
      <w:pPr>
        <w:topLinePunct/>
        <w:spacing w:line="640" w:lineRule="exact"/>
        <w:ind w:firstLineChars="200" w:firstLine="593"/>
        <w:rPr>
          <w:rFonts w:ascii="黑体" w:eastAsia="黑体"/>
          <w:szCs w:val="32"/>
        </w:rPr>
      </w:pPr>
      <w:r>
        <w:rPr>
          <w:rFonts w:ascii="黑体" w:eastAsia="黑体" w:hint="eastAsia"/>
          <w:szCs w:val="32"/>
        </w:rPr>
        <w:t>一、项目基本情况</w:t>
      </w:r>
    </w:p>
    <w:p w14:paraId="7A46B648" w14:textId="77777777" w:rsidR="008919F4" w:rsidRPr="00E41D61" w:rsidRDefault="00000000">
      <w:pPr>
        <w:spacing w:line="640" w:lineRule="exact"/>
        <w:ind w:firstLineChars="200" w:firstLine="593"/>
        <w:outlineLvl w:val="0"/>
        <w:rPr>
          <w:rFonts w:ascii="楷体-GB2312" w:eastAsia="楷体-GB2312" w:hAnsi="楷体" w:hint="eastAsia"/>
          <w:szCs w:val="32"/>
        </w:rPr>
      </w:pPr>
      <w:r w:rsidRPr="00E41D61">
        <w:rPr>
          <w:rFonts w:ascii="楷体-GB2312" w:eastAsia="楷体-GB2312" w:hAnsi="楷体" w:hint="eastAsia"/>
          <w:szCs w:val="32"/>
        </w:rPr>
        <w:t>（一）项目基本情况简介</w:t>
      </w:r>
    </w:p>
    <w:p w14:paraId="05CBE8E3" w14:textId="77777777" w:rsidR="008919F4" w:rsidRPr="00E41D61" w:rsidRDefault="00000000">
      <w:pPr>
        <w:spacing w:line="640" w:lineRule="exact"/>
        <w:ind w:firstLineChars="200" w:firstLine="593"/>
        <w:rPr>
          <w:rFonts w:ascii="仿宋_GB2312" w:hAnsi="fang'song" w:hint="eastAsia"/>
          <w:szCs w:val="32"/>
        </w:rPr>
      </w:pPr>
      <w:r w:rsidRPr="00E41D61">
        <w:rPr>
          <w:rFonts w:ascii="仿宋_GB2312" w:hAnsi="fang'song" w:hint="eastAsia"/>
          <w:szCs w:val="32"/>
        </w:rPr>
        <w:t>2021年，</w:t>
      </w:r>
      <w:r w:rsidRPr="00E41D61">
        <w:rPr>
          <w:rFonts w:ascii="仿宋_GB2312" w:hAnsi="fang'song" w:cs="仿宋_GB2312" w:hint="eastAsia"/>
          <w:szCs w:val="32"/>
        </w:rPr>
        <w:t>昆明市呈贡区第三小学</w:t>
      </w:r>
      <w:r w:rsidRPr="00E41D61">
        <w:rPr>
          <w:rFonts w:ascii="仿宋_GB2312" w:hAnsi="fang'song" w:hint="eastAsia"/>
          <w:szCs w:val="32"/>
        </w:rPr>
        <w:t>单项200万元以上的项目一个：社会化聘用教师和临时聘用教师补助经费228.22万元（调整预算项目）,支出功能分类科目编码为2050202的小学教育。昆明市呈贡区教育体育局社会化聘用制教师管理实施方案（试行）执行。</w:t>
      </w:r>
    </w:p>
    <w:p w14:paraId="7AB20256" w14:textId="77777777" w:rsidR="008919F4" w:rsidRPr="00EE4884" w:rsidRDefault="00000000">
      <w:pPr>
        <w:spacing w:line="640" w:lineRule="exact"/>
        <w:ind w:firstLineChars="200" w:firstLine="593"/>
        <w:rPr>
          <w:rFonts w:ascii="楷体_GB2312" w:eastAsia="楷体_GB2312" w:hAnsi="楷体" w:hint="eastAsia"/>
          <w:szCs w:val="32"/>
        </w:rPr>
      </w:pPr>
      <w:r w:rsidRPr="00EE4884">
        <w:rPr>
          <w:rFonts w:ascii="楷体_GB2312" w:eastAsia="楷体_GB2312" w:hAnsi="楷体" w:hint="eastAsia"/>
          <w:szCs w:val="32"/>
        </w:rPr>
        <w:t>（二）绩效目标设定及指标完成情况。</w:t>
      </w:r>
    </w:p>
    <w:p w14:paraId="1A108E16" w14:textId="77777777" w:rsidR="008919F4" w:rsidRDefault="00000000">
      <w:pPr>
        <w:spacing w:line="640" w:lineRule="exact"/>
        <w:ind w:leftChars="100" w:left="297" w:firstLineChars="100" w:firstLine="297"/>
        <w:rPr>
          <w:rFonts w:ascii="仿宋_GB2312"/>
          <w:szCs w:val="32"/>
        </w:rPr>
      </w:pPr>
      <w:r>
        <w:rPr>
          <w:rFonts w:ascii="仿宋_GB2312" w:hint="eastAsia"/>
          <w:szCs w:val="32"/>
        </w:rPr>
        <w:t>为弥补教师人员不足，通过教育局招聘社会化教师26名及临时聘用教师5名到我校任教，补充教师岗位，保证教育教学需求。</w:t>
      </w:r>
    </w:p>
    <w:p w14:paraId="0827AAC0" w14:textId="77777777" w:rsidR="008919F4" w:rsidRDefault="00000000">
      <w:pPr>
        <w:topLinePunct/>
        <w:spacing w:line="640" w:lineRule="exact"/>
        <w:ind w:firstLineChars="200" w:firstLine="593"/>
        <w:rPr>
          <w:rFonts w:ascii="黑体" w:eastAsia="黑体"/>
          <w:szCs w:val="32"/>
        </w:rPr>
      </w:pPr>
      <w:r>
        <w:rPr>
          <w:rFonts w:ascii="黑体" w:eastAsia="黑体" w:hint="eastAsia"/>
          <w:szCs w:val="32"/>
        </w:rPr>
        <w:t>二、项目资金使用及管理情况</w:t>
      </w:r>
    </w:p>
    <w:p w14:paraId="74CE4989" w14:textId="77777777" w:rsidR="008919F4" w:rsidRDefault="00000000">
      <w:pPr>
        <w:spacing w:line="640" w:lineRule="exact"/>
        <w:ind w:firstLineChars="200" w:firstLine="593"/>
        <w:rPr>
          <w:rFonts w:ascii="仿宋_GB2312" w:hAnsi="仿宋_GB2312" w:cs="仿宋_GB2312"/>
          <w:szCs w:val="32"/>
        </w:rPr>
      </w:pPr>
      <w:bookmarkStart w:id="0" w:name="_Hlk3276330"/>
      <w:r>
        <w:rPr>
          <w:rFonts w:ascii="仿宋_GB2312" w:hint="eastAsia"/>
          <w:szCs w:val="32"/>
        </w:rPr>
        <w:t>社会化聘用教师和临时聘用教师补助经费</w:t>
      </w:r>
      <w:r>
        <w:rPr>
          <w:rFonts w:ascii="仿宋_GB2312" w:hAnsi="仿宋_GB2312" w:cs="仿宋_GB2312" w:hint="eastAsia"/>
          <w:szCs w:val="32"/>
        </w:rPr>
        <w:t>为财政全额预算资金，由学校根据实际情况拨到劳务派遣公司，按时发放社会化聘用教师的工资，缴交社保、公积金等。该项目资金按照项目资金管理规定使用，做到专款专用，不挪作他用。</w:t>
      </w:r>
    </w:p>
    <w:bookmarkEnd w:id="0"/>
    <w:p w14:paraId="28E7F90B" w14:textId="77777777" w:rsidR="008919F4" w:rsidRDefault="00000000">
      <w:pPr>
        <w:topLinePunct/>
        <w:spacing w:line="640" w:lineRule="exact"/>
        <w:ind w:firstLineChars="200" w:firstLine="593"/>
        <w:rPr>
          <w:rFonts w:ascii="黑体" w:eastAsia="黑体"/>
          <w:szCs w:val="32"/>
        </w:rPr>
      </w:pPr>
      <w:r>
        <w:rPr>
          <w:rFonts w:ascii="黑体" w:eastAsia="黑体" w:hint="eastAsia"/>
          <w:szCs w:val="32"/>
        </w:rPr>
        <w:lastRenderedPageBreak/>
        <w:t>三、项目组织实施情况</w:t>
      </w:r>
    </w:p>
    <w:p w14:paraId="6649E09A" w14:textId="77777777" w:rsidR="008919F4" w:rsidRPr="00EE4884" w:rsidRDefault="00000000">
      <w:pPr>
        <w:spacing w:line="640" w:lineRule="exact"/>
        <w:ind w:firstLineChars="200" w:firstLine="593"/>
        <w:rPr>
          <w:rFonts w:ascii="楷体_GB2312" w:eastAsia="楷体_GB2312" w:hint="eastAsia"/>
          <w:szCs w:val="32"/>
        </w:rPr>
      </w:pPr>
      <w:r w:rsidRPr="00EE4884">
        <w:rPr>
          <w:rFonts w:ascii="楷体_GB2312" w:eastAsia="楷体_GB2312" w:hint="eastAsia"/>
          <w:szCs w:val="32"/>
        </w:rPr>
        <w:t>（一）前期准备。</w:t>
      </w:r>
    </w:p>
    <w:p w14:paraId="3B3A6A55" w14:textId="77777777" w:rsidR="008919F4" w:rsidRDefault="00000000">
      <w:pPr>
        <w:spacing w:line="640" w:lineRule="exact"/>
        <w:ind w:firstLineChars="200" w:firstLine="593"/>
        <w:rPr>
          <w:rFonts w:ascii="仿宋_GB2312"/>
          <w:szCs w:val="32"/>
        </w:rPr>
      </w:pPr>
      <w:r>
        <w:rPr>
          <w:rFonts w:ascii="仿宋_GB2312" w:hint="eastAsia"/>
          <w:szCs w:val="32"/>
        </w:rPr>
        <w:t>认真学习《呈贡区财政性资金部门支出绩效评价操作规程》的相关内容，收集整理项目支出的情况、材料，理解评价中各项指标明细，确定评价人员、方法和内容。</w:t>
      </w:r>
    </w:p>
    <w:p w14:paraId="4B0E186B" w14:textId="77777777" w:rsidR="008919F4" w:rsidRPr="00EE4884" w:rsidRDefault="00000000">
      <w:pPr>
        <w:spacing w:line="640" w:lineRule="exact"/>
        <w:ind w:firstLineChars="200" w:firstLine="593"/>
        <w:rPr>
          <w:rFonts w:ascii="楷体_GB2312" w:eastAsia="楷体_GB2312" w:hint="eastAsia"/>
          <w:szCs w:val="32"/>
        </w:rPr>
      </w:pPr>
      <w:r w:rsidRPr="00EE4884">
        <w:rPr>
          <w:rFonts w:ascii="楷体_GB2312" w:eastAsia="楷体_GB2312" w:hint="eastAsia"/>
          <w:szCs w:val="32"/>
        </w:rPr>
        <w:t>（二）组织实施。</w:t>
      </w:r>
    </w:p>
    <w:p w14:paraId="76CB9D08" w14:textId="77777777" w:rsidR="008919F4" w:rsidRDefault="00000000">
      <w:pPr>
        <w:spacing w:line="640" w:lineRule="exact"/>
        <w:ind w:firstLineChars="200" w:firstLine="593"/>
        <w:rPr>
          <w:rFonts w:ascii="仿宋_GB2312"/>
          <w:szCs w:val="32"/>
        </w:rPr>
      </w:pPr>
      <w:r>
        <w:rPr>
          <w:rFonts w:ascii="仿宋_GB2312" w:hint="eastAsia"/>
          <w:szCs w:val="32"/>
        </w:rPr>
        <w:t>通过查询支出材料，了解项目支出中资金到位，使用、效率等情况，确保数据的真实性和全面性，进行综合评价、打分，形成评价结论，找出问题与不足及今后的努力方向。2021年的该项目都按规定时间报审批计划，按照预算时的使用范围列支。</w:t>
      </w:r>
    </w:p>
    <w:p w14:paraId="7C5425C7" w14:textId="77777777" w:rsidR="008919F4" w:rsidRPr="00EE4884" w:rsidRDefault="00000000">
      <w:pPr>
        <w:spacing w:line="640" w:lineRule="exact"/>
        <w:ind w:firstLineChars="200" w:firstLine="593"/>
        <w:rPr>
          <w:rFonts w:ascii="楷体_GB2312" w:eastAsia="楷体_GB2312" w:hint="eastAsia"/>
          <w:szCs w:val="32"/>
        </w:rPr>
      </w:pPr>
      <w:r w:rsidRPr="00EE4884">
        <w:rPr>
          <w:rFonts w:ascii="楷体_GB2312" w:eastAsia="楷体_GB2312" w:hint="eastAsia"/>
          <w:szCs w:val="32"/>
        </w:rPr>
        <w:t>（三）分析评价。</w:t>
      </w:r>
    </w:p>
    <w:p w14:paraId="433A3675" w14:textId="77777777" w:rsidR="008919F4" w:rsidRDefault="00000000">
      <w:pPr>
        <w:spacing w:line="640" w:lineRule="exact"/>
        <w:ind w:firstLineChars="200" w:firstLine="593"/>
        <w:rPr>
          <w:rFonts w:ascii="仿宋_GB2312"/>
          <w:szCs w:val="32"/>
        </w:rPr>
      </w:pPr>
      <w:r>
        <w:rPr>
          <w:rFonts w:ascii="仿宋_GB2312" w:hint="eastAsia"/>
          <w:szCs w:val="32"/>
        </w:rPr>
        <w:t>经学校对该项目实施的预算、执行、效果和前期项目预算时的目标进行对比审核和评价，2021年该项目实施按进度进行，达成预期目标。</w:t>
      </w:r>
    </w:p>
    <w:p w14:paraId="2B480763" w14:textId="77777777" w:rsidR="008919F4" w:rsidRDefault="00000000">
      <w:pPr>
        <w:topLinePunct/>
        <w:spacing w:line="640" w:lineRule="exact"/>
        <w:ind w:firstLineChars="200" w:firstLine="593"/>
        <w:rPr>
          <w:rFonts w:ascii="黑体" w:eastAsia="黑体"/>
          <w:szCs w:val="32"/>
        </w:rPr>
      </w:pPr>
      <w:r>
        <w:rPr>
          <w:rFonts w:ascii="黑体" w:eastAsia="黑体" w:hint="eastAsia"/>
          <w:szCs w:val="32"/>
        </w:rPr>
        <w:t>四、项目绩效情况</w:t>
      </w:r>
    </w:p>
    <w:p w14:paraId="0550357D" w14:textId="77777777" w:rsidR="008919F4" w:rsidRPr="00EE4884" w:rsidRDefault="00000000">
      <w:pPr>
        <w:spacing w:line="640" w:lineRule="exact"/>
        <w:ind w:firstLineChars="200" w:firstLine="593"/>
        <w:outlineLvl w:val="0"/>
        <w:rPr>
          <w:rFonts w:ascii="楷体_GB2312" w:eastAsia="楷体_GB2312" w:hint="eastAsia"/>
          <w:szCs w:val="32"/>
        </w:rPr>
      </w:pPr>
      <w:r w:rsidRPr="00EE4884">
        <w:rPr>
          <w:rFonts w:ascii="楷体_GB2312" w:eastAsia="楷体_GB2312" w:hint="eastAsia"/>
          <w:szCs w:val="32"/>
        </w:rPr>
        <w:t>（一）项目资金情况分析。</w:t>
      </w:r>
    </w:p>
    <w:p w14:paraId="7120ABB0" w14:textId="77777777" w:rsidR="008919F4" w:rsidRDefault="00000000">
      <w:pPr>
        <w:spacing w:line="640" w:lineRule="exact"/>
        <w:ind w:firstLineChars="200" w:firstLine="593"/>
        <w:outlineLvl w:val="0"/>
        <w:rPr>
          <w:rFonts w:ascii="仿宋_GB2312"/>
          <w:szCs w:val="32"/>
        </w:rPr>
      </w:pPr>
      <w:r>
        <w:rPr>
          <w:rFonts w:ascii="仿宋_GB2312"/>
          <w:szCs w:val="32"/>
        </w:rPr>
        <w:t>1.</w:t>
      </w:r>
      <w:r>
        <w:rPr>
          <w:rFonts w:ascii="仿宋_GB2312" w:hint="eastAsia"/>
          <w:szCs w:val="32"/>
        </w:rPr>
        <w:t>项目资金到位情况分析。</w:t>
      </w:r>
    </w:p>
    <w:p w14:paraId="0D677062" w14:textId="77777777" w:rsidR="008919F4" w:rsidRDefault="00000000">
      <w:pPr>
        <w:spacing w:line="640" w:lineRule="exact"/>
        <w:ind w:firstLineChars="200" w:firstLine="593"/>
        <w:outlineLvl w:val="0"/>
        <w:rPr>
          <w:rFonts w:ascii="仿宋_GB2312"/>
          <w:szCs w:val="32"/>
        </w:rPr>
      </w:pPr>
      <w:r>
        <w:rPr>
          <w:rFonts w:ascii="仿宋_GB2312" w:hint="eastAsia"/>
          <w:szCs w:val="32"/>
        </w:rPr>
        <w:t>2021年，社会化聘用教师和临时聘用教师补助经费项目资金能及时、足额到位，并按规定使用。</w:t>
      </w:r>
    </w:p>
    <w:p w14:paraId="544F1360" w14:textId="77777777" w:rsidR="008919F4" w:rsidRDefault="00000000">
      <w:pPr>
        <w:spacing w:line="640" w:lineRule="exact"/>
        <w:ind w:firstLineChars="200" w:firstLine="593"/>
        <w:outlineLvl w:val="0"/>
        <w:rPr>
          <w:rFonts w:ascii="仿宋_GB2312"/>
          <w:szCs w:val="32"/>
        </w:rPr>
      </w:pPr>
      <w:r>
        <w:rPr>
          <w:rFonts w:ascii="仿宋_GB2312"/>
          <w:szCs w:val="32"/>
        </w:rPr>
        <w:t>2.</w:t>
      </w:r>
      <w:r>
        <w:rPr>
          <w:rFonts w:ascii="仿宋_GB2312" w:hint="eastAsia"/>
          <w:szCs w:val="32"/>
        </w:rPr>
        <w:t>项目资金使用情况分析。</w:t>
      </w:r>
    </w:p>
    <w:p w14:paraId="78A7376B" w14:textId="77777777" w:rsidR="008919F4" w:rsidRDefault="00000000">
      <w:pPr>
        <w:spacing w:line="640" w:lineRule="exact"/>
        <w:ind w:firstLineChars="200" w:firstLine="593"/>
        <w:rPr>
          <w:rFonts w:ascii="仿宋_GB2312"/>
          <w:szCs w:val="32"/>
        </w:rPr>
      </w:pPr>
      <w:r>
        <w:rPr>
          <w:rFonts w:ascii="仿宋_GB2312" w:hint="eastAsia"/>
          <w:szCs w:val="32"/>
        </w:rPr>
        <w:lastRenderedPageBreak/>
        <w:t>2021年2-8月，该项目资金直接拨付给劳务派遣公司发放，2021年9月-2022年2月由学校根据聘用制教师人数按时、足额拨付劳务派遣公司发放。</w:t>
      </w:r>
    </w:p>
    <w:p w14:paraId="4205F324" w14:textId="77777777" w:rsidR="008919F4" w:rsidRDefault="00000000">
      <w:pPr>
        <w:spacing w:line="640" w:lineRule="exact"/>
        <w:ind w:firstLineChars="200" w:firstLine="593"/>
        <w:outlineLvl w:val="0"/>
        <w:rPr>
          <w:rFonts w:ascii="仿宋_GB2312"/>
          <w:szCs w:val="32"/>
        </w:rPr>
      </w:pPr>
      <w:r>
        <w:rPr>
          <w:rFonts w:ascii="仿宋_GB2312"/>
          <w:szCs w:val="32"/>
        </w:rPr>
        <w:t>3.</w:t>
      </w:r>
      <w:r>
        <w:rPr>
          <w:rFonts w:ascii="仿宋_GB2312" w:hint="eastAsia"/>
          <w:szCs w:val="32"/>
        </w:rPr>
        <w:t>项目资金管理情况分析。</w:t>
      </w:r>
    </w:p>
    <w:p w14:paraId="794D7BE0" w14:textId="77777777" w:rsidR="008919F4" w:rsidRDefault="00000000">
      <w:pPr>
        <w:topLinePunct/>
        <w:spacing w:line="640" w:lineRule="exact"/>
        <w:ind w:firstLineChars="200" w:firstLine="593"/>
        <w:rPr>
          <w:rFonts w:ascii="仿宋_GB2312"/>
          <w:szCs w:val="32"/>
        </w:rPr>
      </w:pPr>
      <w:r>
        <w:rPr>
          <w:rFonts w:ascii="仿宋_GB2312" w:hAnsi="仿宋_GB2312" w:cs="仿宋_GB2312" w:hint="eastAsia"/>
          <w:szCs w:val="32"/>
        </w:rPr>
        <w:t>在资金使用、管理中，我校严格执行项目资金管理的规定和用途，做到项目经费专款专用，不挪作他用，按照审批流程使用，杜绝挪用、套用，保证资金使用效率。</w:t>
      </w:r>
    </w:p>
    <w:p w14:paraId="2C962B60" w14:textId="77777777" w:rsidR="008919F4" w:rsidRPr="00D91267" w:rsidRDefault="00000000">
      <w:pPr>
        <w:spacing w:line="640" w:lineRule="exact"/>
        <w:ind w:firstLineChars="200" w:firstLine="593"/>
        <w:outlineLvl w:val="0"/>
        <w:rPr>
          <w:rFonts w:ascii="楷体_GB2312" w:eastAsia="楷体_GB2312" w:hint="eastAsia"/>
          <w:szCs w:val="32"/>
        </w:rPr>
      </w:pPr>
      <w:r w:rsidRPr="00D91267">
        <w:rPr>
          <w:rFonts w:ascii="楷体_GB2312" w:eastAsia="楷体_GB2312" w:hint="eastAsia"/>
          <w:szCs w:val="32"/>
        </w:rPr>
        <w:t>（二）项目实施情况分析。</w:t>
      </w:r>
    </w:p>
    <w:p w14:paraId="180AC40A" w14:textId="77777777" w:rsidR="008919F4" w:rsidRDefault="00000000">
      <w:pPr>
        <w:spacing w:line="640" w:lineRule="exact"/>
        <w:ind w:firstLineChars="200" w:firstLine="593"/>
        <w:outlineLvl w:val="0"/>
        <w:rPr>
          <w:rFonts w:ascii="仿宋_GB2312"/>
          <w:szCs w:val="32"/>
        </w:rPr>
      </w:pPr>
      <w:r>
        <w:rPr>
          <w:rFonts w:ascii="仿宋_GB2312"/>
          <w:szCs w:val="32"/>
        </w:rPr>
        <w:t>1.</w:t>
      </w:r>
      <w:r>
        <w:rPr>
          <w:rFonts w:ascii="仿宋_GB2312" w:hint="eastAsia"/>
          <w:szCs w:val="32"/>
        </w:rPr>
        <w:t>项目组织情况分析。</w:t>
      </w:r>
    </w:p>
    <w:p w14:paraId="700F7604" w14:textId="77777777" w:rsidR="008919F4" w:rsidRDefault="00000000">
      <w:pPr>
        <w:spacing w:line="640" w:lineRule="exact"/>
        <w:ind w:firstLineChars="200" w:firstLine="593"/>
        <w:outlineLvl w:val="0"/>
        <w:rPr>
          <w:rFonts w:ascii="仿宋_GB2312"/>
          <w:szCs w:val="32"/>
        </w:rPr>
      </w:pPr>
      <w:r>
        <w:rPr>
          <w:rFonts w:ascii="仿宋_GB2312" w:hint="eastAsia"/>
          <w:szCs w:val="32"/>
        </w:rPr>
        <w:t>该项目根据与劳务公司签订合同的社会化聘用教师人数确定预算金额，项目预算批复后，根据预算目标使用经费。</w:t>
      </w:r>
    </w:p>
    <w:p w14:paraId="1C2F751C" w14:textId="77777777" w:rsidR="008919F4" w:rsidRDefault="00000000">
      <w:pPr>
        <w:spacing w:line="640" w:lineRule="exact"/>
        <w:ind w:firstLineChars="200" w:firstLine="593"/>
        <w:outlineLvl w:val="0"/>
        <w:rPr>
          <w:rFonts w:ascii="仿宋_GB2312"/>
          <w:szCs w:val="32"/>
        </w:rPr>
      </w:pPr>
      <w:r>
        <w:rPr>
          <w:rFonts w:ascii="仿宋_GB2312"/>
          <w:szCs w:val="32"/>
        </w:rPr>
        <w:t>2.</w:t>
      </w:r>
      <w:r>
        <w:rPr>
          <w:rFonts w:ascii="仿宋_GB2312" w:hint="eastAsia"/>
          <w:szCs w:val="32"/>
        </w:rPr>
        <w:t>项目管理情况分析。</w:t>
      </w:r>
    </w:p>
    <w:p w14:paraId="63AC7E2C" w14:textId="77777777" w:rsidR="008919F4" w:rsidRDefault="00000000">
      <w:pPr>
        <w:spacing w:line="640" w:lineRule="exact"/>
        <w:ind w:firstLineChars="200" w:firstLine="593"/>
        <w:outlineLvl w:val="0"/>
        <w:rPr>
          <w:rFonts w:ascii="仿宋_GB2312"/>
          <w:szCs w:val="32"/>
        </w:rPr>
      </w:pPr>
      <w:r>
        <w:rPr>
          <w:rFonts w:ascii="仿宋_GB2312" w:hint="eastAsia"/>
          <w:szCs w:val="32"/>
        </w:rPr>
        <w:t>在项目的管理过程中，严格执行审批制度，保证项目实施的有效性。</w:t>
      </w:r>
    </w:p>
    <w:p w14:paraId="6B71575E" w14:textId="77777777" w:rsidR="008919F4" w:rsidRPr="00D91267" w:rsidRDefault="00000000">
      <w:pPr>
        <w:spacing w:line="640" w:lineRule="exact"/>
        <w:ind w:firstLineChars="200" w:firstLine="593"/>
        <w:outlineLvl w:val="0"/>
        <w:rPr>
          <w:rFonts w:ascii="楷体_GB2312" w:eastAsia="楷体_GB2312" w:hint="eastAsia"/>
          <w:szCs w:val="32"/>
        </w:rPr>
      </w:pPr>
      <w:r w:rsidRPr="00D91267">
        <w:rPr>
          <w:rFonts w:ascii="楷体_GB2312" w:eastAsia="楷体_GB2312" w:hint="eastAsia"/>
          <w:szCs w:val="32"/>
        </w:rPr>
        <w:t>（三）项目绩效情况分析。</w:t>
      </w:r>
    </w:p>
    <w:p w14:paraId="763194E0" w14:textId="77777777" w:rsidR="008919F4" w:rsidRDefault="00000000">
      <w:pPr>
        <w:topLinePunct/>
        <w:spacing w:line="640" w:lineRule="exact"/>
        <w:ind w:firstLineChars="200" w:firstLine="593"/>
        <w:rPr>
          <w:rFonts w:ascii="仿宋_GB2312"/>
          <w:szCs w:val="32"/>
        </w:rPr>
      </w:pPr>
      <w:r>
        <w:rPr>
          <w:rFonts w:ascii="仿宋_GB2312" w:hint="eastAsia"/>
          <w:szCs w:val="32"/>
        </w:rPr>
        <w:t>1.项目的经济性：2021年的社会化聘用教师经费228.22万元（含工资、社保、2020年目标绩效奖），共拨付上学期教师26人，下学期教师26人工资、社保、公积金等费用，结余的资金在零余额账户已经清零。</w:t>
      </w:r>
    </w:p>
    <w:p w14:paraId="67294C95" w14:textId="77777777" w:rsidR="008919F4" w:rsidRDefault="00000000">
      <w:pPr>
        <w:topLinePunct/>
        <w:spacing w:line="640" w:lineRule="exact"/>
        <w:ind w:firstLineChars="200" w:firstLine="593"/>
        <w:rPr>
          <w:rFonts w:ascii="仿宋_GB2312"/>
          <w:szCs w:val="32"/>
        </w:rPr>
      </w:pPr>
      <w:r>
        <w:rPr>
          <w:rFonts w:ascii="仿宋_GB2312" w:hint="eastAsia"/>
          <w:szCs w:val="32"/>
        </w:rPr>
        <w:t>2.项目的效率性：保证了社会化聘用教师和临时聘用教师补</w:t>
      </w:r>
      <w:r>
        <w:rPr>
          <w:rFonts w:ascii="仿宋_GB2312" w:hint="eastAsia"/>
          <w:szCs w:val="32"/>
        </w:rPr>
        <w:lastRenderedPageBreak/>
        <w:t>助经费按时发放、社保、公积金按时缴费。</w:t>
      </w:r>
    </w:p>
    <w:p w14:paraId="366BF008" w14:textId="77777777" w:rsidR="008919F4" w:rsidRDefault="00000000">
      <w:pPr>
        <w:topLinePunct/>
        <w:spacing w:line="640" w:lineRule="exact"/>
        <w:ind w:firstLineChars="200" w:firstLine="593"/>
        <w:rPr>
          <w:rFonts w:ascii="仿宋_GB2312"/>
          <w:szCs w:val="32"/>
        </w:rPr>
      </w:pPr>
      <w:r>
        <w:rPr>
          <w:rFonts w:ascii="仿宋_GB2312" w:hint="eastAsia"/>
          <w:szCs w:val="32"/>
        </w:rPr>
        <w:t>3.项目的有效性：弥补教师编制不足，保证学校各项活动需求，保障了学校教育教学正常运转。</w:t>
      </w:r>
    </w:p>
    <w:p w14:paraId="65E43F11" w14:textId="77777777" w:rsidR="008919F4" w:rsidRDefault="00000000">
      <w:pPr>
        <w:topLinePunct/>
        <w:spacing w:line="640" w:lineRule="exact"/>
        <w:ind w:firstLineChars="200" w:firstLine="593"/>
        <w:rPr>
          <w:rFonts w:ascii="仿宋_GB2312"/>
          <w:szCs w:val="32"/>
        </w:rPr>
      </w:pPr>
      <w:r>
        <w:rPr>
          <w:rFonts w:ascii="仿宋_GB2312" w:hint="eastAsia"/>
          <w:szCs w:val="32"/>
        </w:rPr>
        <w:t>4.项目的可持续性：学校要不断健全各项制度，加强资金的管理，保障资金使用安全。</w:t>
      </w:r>
    </w:p>
    <w:p w14:paraId="0054590E" w14:textId="77777777" w:rsidR="008919F4" w:rsidRDefault="00000000">
      <w:pPr>
        <w:topLinePunct/>
        <w:spacing w:line="640" w:lineRule="exact"/>
        <w:ind w:firstLineChars="200" w:firstLine="593"/>
        <w:rPr>
          <w:rFonts w:ascii="黑体" w:eastAsia="黑体"/>
          <w:szCs w:val="32"/>
        </w:rPr>
      </w:pPr>
      <w:r>
        <w:rPr>
          <w:rFonts w:ascii="黑体" w:eastAsia="黑体" w:hint="eastAsia"/>
          <w:szCs w:val="32"/>
        </w:rPr>
        <w:t>五、存在的问题</w:t>
      </w:r>
    </w:p>
    <w:p w14:paraId="3EE91473" w14:textId="77777777" w:rsidR="008919F4" w:rsidRDefault="00000000">
      <w:pPr>
        <w:topLinePunct/>
        <w:spacing w:line="640" w:lineRule="exact"/>
        <w:ind w:firstLineChars="400" w:firstLine="1187"/>
        <w:rPr>
          <w:rFonts w:ascii="仿宋_GB2312"/>
          <w:szCs w:val="32"/>
        </w:rPr>
      </w:pPr>
      <w:r>
        <w:rPr>
          <w:rFonts w:ascii="仿宋_GB2312" w:hint="eastAsia"/>
          <w:szCs w:val="32"/>
        </w:rPr>
        <w:t>无</w:t>
      </w:r>
    </w:p>
    <w:p w14:paraId="0EC2599F" w14:textId="77777777" w:rsidR="008919F4" w:rsidRDefault="00000000">
      <w:pPr>
        <w:topLinePunct/>
        <w:spacing w:line="640" w:lineRule="exact"/>
        <w:ind w:firstLineChars="200" w:firstLine="593"/>
        <w:rPr>
          <w:rFonts w:ascii="黑体" w:eastAsia="黑体"/>
          <w:szCs w:val="32"/>
        </w:rPr>
      </w:pPr>
      <w:r>
        <w:rPr>
          <w:rFonts w:ascii="黑体" w:eastAsia="黑体" w:hint="eastAsia"/>
          <w:szCs w:val="32"/>
        </w:rPr>
        <w:t>六、其他需要说明的问题</w:t>
      </w:r>
    </w:p>
    <w:p w14:paraId="50F4E275" w14:textId="77777777" w:rsidR="008919F4" w:rsidRDefault="00000000">
      <w:pPr>
        <w:spacing w:line="640" w:lineRule="exact"/>
        <w:ind w:firstLineChars="400" w:firstLine="1187"/>
        <w:rPr>
          <w:rFonts w:ascii="仿宋_GB2312"/>
          <w:szCs w:val="32"/>
        </w:rPr>
      </w:pPr>
      <w:r>
        <w:rPr>
          <w:rFonts w:ascii="仿宋_GB2312" w:hint="eastAsia"/>
          <w:szCs w:val="32"/>
        </w:rPr>
        <w:t>无</w:t>
      </w:r>
    </w:p>
    <w:p w14:paraId="5DA07719" w14:textId="77777777" w:rsidR="008919F4" w:rsidRDefault="008919F4">
      <w:pPr>
        <w:spacing w:line="640" w:lineRule="exact"/>
        <w:jc w:val="right"/>
        <w:rPr>
          <w:rFonts w:ascii="仿宋_GB2312"/>
          <w:szCs w:val="32"/>
        </w:rPr>
      </w:pPr>
    </w:p>
    <w:p w14:paraId="7005D6B1" w14:textId="77777777" w:rsidR="008919F4" w:rsidRDefault="008919F4">
      <w:pPr>
        <w:spacing w:line="640" w:lineRule="exact"/>
        <w:jc w:val="right"/>
        <w:rPr>
          <w:rFonts w:ascii="仿宋_GB2312"/>
          <w:szCs w:val="32"/>
        </w:rPr>
      </w:pPr>
    </w:p>
    <w:sectPr w:rsidR="008919F4">
      <w:pgSz w:w="11906" w:h="16838"/>
      <w:pgMar w:top="1723" w:right="1800" w:bottom="1723" w:left="1800" w:header="851" w:footer="992" w:gutter="0"/>
      <w:cols w:space="0"/>
      <w:docGrid w:type="linesAndChars" w:linePitch="608" w:charSpace="-47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A36C7" w14:textId="77777777" w:rsidR="007916F4" w:rsidRDefault="007916F4" w:rsidP="00E41D61">
      <w:r>
        <w:separator/>
      </w:r>
    </w:p>
  </w:endnote>
  <w:endnote w:type="continuationSeparator" w:id="0">
    <w:p w14:paraId="15E42C6A" w14:textId="77777777" w:rsidR="007916F4" w:rsidRDefault="007916F4" w:rsidP="00E41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GB2312">
    <w:altName w:val="楷体"/>
    <w:panose1 w:val="00000000000000000000"/>
    <w:charset w:val="86"/>
    <w:family w:val="roman"/>
    <w:notTrueType/>
    <w:pitch w:val="default"/>
  </w:font>
  <w:font w:name="楷体">
    <w:panose1 w:val="02010609060101010101"/>
    <w:charset w:val="86"/>
    <w:family w:val="modern"/>
    <w:pitch w:val="fixed"/>
    <w:sig w:usb0="800002BF" w:usb1="38CF7CFA" w:usb2="00000016" w:usb3="00000000" w:csb0="00040001" w:csb1="00000000"/>
  </w:font>
  <w:font w:name="fang'song">
    <w:altName w:val="Cambria"/>
    <w:panose1 w:val="00000000000000000000"/>
    <w:charset w:val="00"/>
    <w:family w:val="roman"/>
    <w:notTrueType/>
    <w:pitch w:val="default"/>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9CCCE" w14:textId="77777777" w:rsidR="007916F4" w:rsidRDefault="007916F4" w:rsidP="00E41D61">
      <w:r>
        <w:separator/>
      </w:r>
    </w:p>
  </w:footnote>
  <w:footnote w:type="continuationSeparator" w:id="0">
    <w:p w14:paraId="7E564F73" w14:textId="77777777" w:rsidR="007916F4" w:rsidRDefault="007916F4" w:rsidP="00E41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48"/>
  <w:drawingGridVerticalSpacing w:val="304"/>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19F4"/>
    <w:rsid w:val="007916F4"/>
    <w:rsid w:val="008919F4"/>
    <w:rsid w:val="00D91267"/>
    <w:rsid w:val="00E41D61"/>
    <w:rsid w:val="00EE10D1"/>
    <w:rsid w:val="00EE4884"/>
    <w:rsid w:val="05AE36CA"/>
    <w:rsid w:val="09B757DF"/>
    <w:rsid w:val="15B82C06"/>
    <w:rsid w:val="20F43E97"/>
    <w:rsid w:val="358C0279"/>
    <w:rsid w:val="378A5996"/>
    <w:rsid w:val="386D12E1"/>
    <w:rsid w:val="3A360AAF"/>
    <w:rsid w:val="5A3C6978"/>
    <w:rsid w:val="64FE44FF"/>
    <w:rsid w:val="67600811"/>
    <w:rsid w:val="76CF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2E426"/>
  <w15:docId w15:val="{0F6B231F-CF73-4F9A-BCEF-73E42C438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1D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41D61"/>
    <w:rPr>
      <w:rFonts w:eastAsia="仿宋_GB2312"/>
      <w:kern w:val="2"/>
      <w:sz w:val="18"/>
      <w:szCs w:val="18"/>
    </w:rPr>
  </w:style>
  <w:style w:type="paragraph" w:styleId="a5">
    <w:name w:val="footer"/>
    <w:basedOn w:val="a"/>
    <w:link w:val="a6"/>
    <w:rsid w:val="00E41D61"/>
    <w:pPr>
      <w:tabs>
        <w:tab w:val="center" w:pos="4153"/>
        <w:tab w:val="right" w:pos="8306"/>
      </w:tabs>
      <w:snapToGrid w:val="0"/>
      <w:jc w:val="left"/>
    </w:pPr>
    <w:rPr>
      <w:sz w:val="18"/>
      <w:szCs w:val="18"/>
    </w:rPr>
  </w:style>
  <w:style w:type="character" w:customStyle="1" w:styleId="a6">
    <w:name w:val="页脚 字符"/>
    <w:basedOn w:val="a0"/>
    <w:link w:val="a5"/>
    <w:rsid w:val="00E41D61"/>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jyjcg</dc:creator>
  <cp:lastModifiedBy>Administrator</cp:lastModifiedBy>
  <cp:revision>2</cp:revision>
  <dcterms:created xsi:type="dcterms:W3CDTF">2014-10-29T12:08:00Z</dcterms:created>
  <dcterms:modified xsi:type="dcterms:W3CDTF">2022-09-28T03:15:00Z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