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spacing w:line="0" w:lineRule="atLeast"/>
        <w:ind w:firstLine="834" w:firstLineChars="20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2021年度中小学、幼儿园科技、艺术、</w:t>
      </w:r>
    </w:p>
    <w:p>
      <w:pPr>
        <w:spacing w:line="0" w:lineRule="atLeast"/>
        <w:ind w:firstLine="834" w:firstLineChars="20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等活动专项资金支出绩效报告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一、项目基本情况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（一）项目概况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项目经费主要用于2021年呈贡区教育体育局中小学生艺术节展演活动相关费用，以及文化、艺术、科技等活动经费及核拨到各校、园的文化、艺术、科技等活动经费。各学校、幼儿园严格按照资金使用要求，未出现挤占、挪用、截留等现象。</w:t>
      </w:r>
    </w:p>
    <w:p>
      <w:pPr>
        <w:spacing w:line="560" w:lineRule="exact"/>
        <w:ind w:firstLine="594" w:firstLineChars="200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（二）项目绩效目标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1.项目绩效总目标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进一步增强呈贡区学生的思想道德建设的规范性，传统文化的影响性，全面培养和提高艺术素养，提高中小学生科普意识和环保意识，增强中小学生科技创新能力学生。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2.项目绩效阶段性目标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学生通过参与文化、艺术、科教等活动，逐步提高自身素养，全面培养和提高学生的思想道德建设，培养和提高学生的文化、艺术、科技等素养，达到全面发展的目标。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二、项目资金使用及管理情况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</w:rPr>
        <w:t xml:space="preserve"> </w:t>
      </w:r>
    </w:p>
    <w:p>
      <w:pPr>
        <w:spacing w:line="560" w:lineRule="exact"/>
        <w:ind w:firstLine="594" w:firstLineChars="200"/>
        <w:jc w:val="lef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2021年度中小学、幼儿园科技、艺术等活动专项资金均用于各校、园的文化、艺术、科技以及学校每年戏曲进校园等相关考试、创建以及活动开展经费，共计支出</w:t>
      </w:r>
      <w:r>
        <w:rPr>
          <w:rFonts w:ascii="仿宋_GB2312" w:hAnsi="仿宋_GB2312" w:cs="仿宋_GB2312"/>
          <w:color w:val="auto"/>
          <w:szCs w:val="32"/>
        </w:rPr>
        <w:t>17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万</w:t>
      </w:r>
      <w:r>
        <w:rPr>
          <w:rFonts w:hint="eastAsia" w:ascii="仿宋_GB2312" w:hAnsi="仿宋_GB2312" w:cs="仿宋_GB2312"/>
          <w:color w:val="auto"/>
          <w:szCs w:val="32"/>
        </w:rPr>
        <w:t>元。资金到位率100%，资金使用率100%。支出项目均严格按照财政要求，未出现挤占、挪用、截留等现象。共计17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万</w:t>
      </w:r>
      <w:r>
        <w:rPr>
          <w:rFonts w:hint="eastAsia" w:ascii="仿宋_GB2312" w:hAnsi="仿宋_GB2312" w:cs="仿宋_GB2312"/>
          <w:color w:val="auto"/>
          <w:szCs w:val="32"/>
        </w:rPr>
        <w:t>元，资金到位率100%，资金使用率100%。支出项目均严格按照财政要求，未出现挤占、挪用、截留等现象。</w:t>
      </w:r>
    </w:p>
    <w:p>
      <w:pPr>
        <w:topLinePunct/>
        <w:spacing w:line="560" w:lineRule="exact"/>
        <w:ind w:firstLine="594" w:firstLineChars="200"/>
        <w:rPr>
          <w:rFonts w:hint="eastAsia" w:ascii="方正小标宋简体" w:hAnsi="仿宋_GB2312" w:eastAsia="方正小标宋简体" w:cs="仿宋_GB2312"/>
          <w:color w:val="auto"/>
          <w:szCs w:val="32"/>
        </w:rPr>
      </w:pPr>
      <w:r>
        <w:rPr>
          <w:rFonts w:hint="eastAsia" w:ascii="方正小标宋简体" w:hAnsi="仿宋_GB2312" w:eastAsia="方正小标宋简体" w:cs="仿宋_GB2312"/>
          <w:color w:val="auto"/>
          <w:szCs w:val="32"/>
        </w:rPr>
        <w:t>三、项目组织实施情况</w:t>
      </w:r>
    </w:p>
    <w:p>
      <w:pPr>
        <w:snapToGrid w:val="0"/>
        <w:spacing w:line="560" w:lineRule="exact"/>
        <w:ind w:firstLine="594" w:firstLineChars="200"/>
        <w:textAlignment w:val="baseline"/>
        <w:rPr>
          <w:color w:val="auto"/>
          <w:sz w:val="20"/>
        </w:rPr>
      </w:pPr>
      <w:r>
        <w:rPr>
          <w:rFonts w:hint="eastAsia" w:ascii="仿宋_GB2312"/>
          <w:color w:val="auto"/>
          <w:szCs w:val="32"/>
        </w:rPr>
        <w:t>学校开展艺术节、科技周，圆满完成呈贡区中小学2021年艺术节和2021艺术展演活动，全区35所中小学创演94个文艺节目，524份美术作品，10个文艺节目和100份美术作品参与市级展演， 15个节目，70份美术作品参与市级评选，13个节目参与省级评选，学校艺术素质教育蓬勃发展。努力搭建平台，带领全区1</w:t>
      </w:r>
      <w:r>
        <w:rPr>
          <w:rFonts w:ascii="仿宋_GB2312"/>
          <w:color w:val="auto"/>
          <w:szCs w:val="32"/>
        </w:rPr>
        <w:t>5</w:t>
      </w:r>
      <w:r>
        <w:rPr>
          <w:rFonts w:hint="eastAsia" w:ascii="仿宋_GB2312"/>
          <w:color w:val="auto"/>
          <w:szCs w:val="32"/>
        </w:rPr>
        <w:t>所中小学开设机器人教育实验室，全区1</w:t>
      </w:r>
      <w:r>
        <w:rPr>
          <w:rFonts w:ascii="仿宋_GB2312"/>
          <w:color w:val="auto"/>
          <w:szCs w:val="32"/>
        </w:rPr>
        <w:t>1</w:t>
      </w:r>
      <w:r>
        <w:rPr>
          <w:rFonts w:hint="eastAsia" w:ascii="仿宋_GB2312"/>
          <w:color w:val="auto"/>
          <w:szCs w:val="32"/>
        </w:rPr>
        <w:t>所中小学设立科普e站，广受学生喜爱、家长认可。成功申报6个云南省、昆明市科普示范校。顺利圆满完成呈贡区2021年音乐美术中考，遴选课后服务校外培训机构:艺术类13所，科技类4所，心理健康类2所。</w:t>
      </w:r>
    </w:p>
    <w:p>
      <w:pPr>
        <w:topLinePunct/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呈贡区教育体育局对2021年中小学、幼儿园科技、艺术、等活动专项资金的管理和使用，本着厉行节约，反对浪费的原则，未出现虚列虚支、虚报冒领和挤占挪用，确保按规定用途使用。严格按照资金管理和使用办法、资金使用合理，无结余资金，无滞留、闲置、挪用等现象，充分发挥专项资金的使用效率，无存在问题。</w:t>
      </w:r>
    </w:p>
    <w:p>
      <w:pPr>
        <w:topLinePunct/>
        <w:spacing w:line="560" w:lineRule="exact"/>
        <w:ind w:firstLine="594" w:firstLineChars="200"/>
        <w:rPr>
          <w:rFonts w:ascii="方正小标宋简体" w:hAnsi="仿宋_GB2312" w:eastAsia="方正小标宋简体" w:cs="仿宋_GB2312"/>
          <w:color w:val="auto"/>
          <w:szCs w:val="32"/>
        </w:rPr>
      </w:pPr>
      <w:r>
        <w:rPr>
          <w:rFonts w:hint="eastAsia" w:ascii="方正小标宋简体" w:hAnsi="仿宋_GB2312" w:eastAsia="方正小标宋简体" w:cs="仿宋_GB2312"/>
          <w:color w:val="auto"/>
          <w:szCs w:val="32"/>
        </w:rPr>
        <w:t>五、存在的问题</w:t>
      </w:r>
    </w:p>
    <w:p>
      <w:pPr>
        <w:spacing w:line="560" w:lineRule="exact"/>
        <w:ind w:firstLine="594" w:firstLineChars="200"/>
        <w:rPr>
          <w:rFonts w:ascii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呈贡区教育教育体育局严格按照资金管理和使用办法、资金使用合理，无结余资金，无滞留、闲置、挪用等现象，充分发挥专项资金的使用效率，无存在问题。今后，会依旧严格执行资金使用制度，规范资金使用用途，积极发挥资金使用的最大效用。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六、其他需要说明的问题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zCs w:val="32"/>
          <w:shd w:val="clear" w:color="auto" w:fill="FFFFFF"/>
        </w:rPr>
        <w:t>后续将继续加强财政支出管理，强化支出责任，建立科学、合理的财政支出绩效评价体系，有效提高项目支出的经济性、效益性和效率性。严格执行规定的程序，按照科学可行的要求，真实、客观、公正，根据评价对象的特点分类组织实施，清晰反映支出和产出之间的紧密对应关系。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项目经费使用按照“谁使用、谁负责”的原则，健全责任追究制度，加强校务、政务公开监管机制，接收社会各界及教职工的监督，确保了经费专款专用，无其他需要说明的问题。</w:t>
      </w: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iOWNmZDMyOGE0ODI5MjJiODhjMzlkNDhlOTc0MDIifQ=="/>
  </w:docVars>
  <w:rsids>
    <w:rsidRoot w:val="0087069D"/>
    <w:rsid w:val="00056A4B"/>
    <w:rsid w:val="000C4433"/>
    <w:rsid w:val="00167548"/>
    <w:rsid w:val="001900F4"/>
    <w:rsid w:val="00223BA4"/>
    <w:rsid w:val="00302085"/>
    <w:rsid w:val="003C4932"/>
    <w:rsid w:val="00432E15"/>
    <w:rsid w:val="0046213B"/>
    <w:rsid w:val="00470A69"/>
    <w:rsid w:val="00474782"/>
    <w:rsid w:val="00527AB2"/>
    <w:rsid w:val="005714B5"/>
    <w:rsid w:val="005A0F5C"/>
    <w:rsid w:val="006B774B"/>
    <w:rsid w:val="00745D5C"/>
    <w:rsid w:val="00764D41"/>
    <w:rsid w:val="007C50AB"/>
    <w:rsid w:val="007F69D6"/>
    <w:rsid w:val="00802AA3"/>
    <w:rsid w:val="00853FEC"/>
    <w:rsid w:val="0087069D"/>
    <w:rsid w:val="0089566E"/>
    <w:rsid w:val="00942D41"/>
    <w:rsid w:val="00957E86"/>
    <w:rsid w:val="00990D35"/>
    <w:rsid w:val="009B34C6"/>
    <w:rsid w:val="009B4F51"/>
    <w:rsid w:val="009B65EA"/>
    <w:rsid w:val="009D3AA4"/>
    <w:rsid w:val="00A132BB"/>
    <w:rsid w:val="00A5270A"/>
    <w:rsid w:val="00AD1A97"/>
    <w:rsid w:val="00AF3202"/>
    <w:rsid w:val="00B63CE6"/>
    <w:rsid w:val="00B729DC"/>
    <w:rsid w:val="00B73ED3"/>
    <w:rsid w:val="00BD65CB"/>
    <w:rsid w:val="00BE2150"/>
    <w:rsid w:val="00C04748"/>
    <w:rsid w:val="00C301F8"/>
    <w:rsid w:val="00C34522"/>
    <w:rsid w:val="00C54EA1"/>
    <w:rsid w:val="00C55A21"/>
    <w:rsid w:val="00D50B65"/>
    <w:rsid w:val="00DC7E35"/>
    <w:rsid w:val="00DD4F38"/>
    <w:rsid w:val="00DE4DCF"/>
    <w:rsid w:val="00E117AA"/>
    <w:rsid w:val="00E80134"/>
    <w:rsid w:val="00F007AC"/>
    <w:rsid w:val="00F246FD"/>
    <w:rsid w:val="05AE36CA"/>
    <w:rsid w:val="1BE71370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8EB366-A04F-43B0-8BA3-A70E8752F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1242</Words>
  <Characters>1312</Characters>
  <Lines>9</Lines>
  <Paragraphs>2</Paragraphs>
  <TotalTime>486</TotalTime>
  <ScaleCrop>false</ScaleCrop>
  <LinksUpToDate>false</LinksUpToDate>
  <CharactersWithSpaces>1315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2022-09-27T08:38:45Z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5A4EA7EEA463482AB2D1F57EB9478339</vt:lpwstr>
  </property>
</Properties>
</file>