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食品安全、卫生及疫情防控工作专项资金</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ascii="仿宋_GB2312"/>
          <w:szCs w:val="32"/>
        </w:rPr>
      </w:pPr>
      <w:r>
        <w:rPr>
          <w:rFonts w:hint="eastAsia" w:ascii="仿宋_GB2312"/>
          <w:szCs w:val="32"/>
        </w:rPr>
        <w:t>《学校食品安全与营养健康管理规定》《市场监管总局办公厅教育部办公厅国家卫生健康委办公厅公安部办公厅关于落实主体责任强化校园食品安全管理指导意见的通知》（市监食经﹝2019﹞68号）、《学校卫生工作条例》、《中小学校传染病防控工作管理规范》等文件要求，用于全区116所中小学、幼儿园开展食品安全人员培训；学校、幼儿园食品安全工作；推进“明厨亮灶”“六T”实务管理工程经费补助。用于全区116所中小学、幼儿园开展校园卫生、传染病防治、疫情防控、近视防控、心理健康、禁毒防艾工作，制作相关材料、培训等各项工作。用于全区116所中小学、幼儿园疫情防控物资储备。</w:t>
      </w:r>
    </w:p>
    <w:p>
      <w:pPr>
        <w:numPr>
          <w:ilvl w:val="0"/>
          <w:numId w:val="1"/>
        </w:numPr>
        <w:topLinePunct/>
        <w:ind w:left="-1" w:leftChars="0" w:firstLine="593" w:firstLineChars="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topLinePunct/>
        <w:spacing w:line="560" w:lineRule="exact"/>
        <w:ind w:firstLine="594" w:firstLineChars="200"/>
        <w:rPr>
          <w:rFonts w:ascii="仿宋_GB2312" w:hAnsi="仿宋_GB2312" w:cs="仿宋_GB2312"/>
          <w:szCs w:val="32"/>
          <w:lang w:val="zh-CN"/>
        </w:rPr>
      </w:pPr>
      <w:r>
        <w:rPr>
          <w:rFonts w:hint="eastAsia" w:ascii="仿宋_GB2312" w:hAnsi="仿宋_GB2312" w:cs="仿宋_GB2312"/>
          <w:szCs w:val="32"/>
        </w:rPr>
        <w:t>2021年</w:t>
      </w:r>
      <w:r>
        <w:rPr>
          <w:rFonts w:hint="eastAsia" w:ascii="仿宋_GB2312" w:hAnsi="仿宋_GB2312" w:cs="仿宋_GB2312"/>
          <w:szCs w:val="32"/>
          <w:lang w:val="zh-CN"/>
        </w:rPr>
        <w:t>所下达的食品安全、卫生及疫情防控工作专项资金切实做到专款专用，均用于</w:t>
      </w:r>
      <w:r>
        <w:rPr>
          <w:rFonts w:hint="eastAsia" w:ascii="仿宋_GB2312"/>
          <w:szCs w:val="32"/>
        </w:rPr>
        <w:t>开展校园卫生、传染病防治、疫情防控、近视防控、心理健康、禁毒防艾各项工作</w:t>
      </w:r>
      <w:r>
        <w:rPr>
          <w:rFonts w:hint="eastAsia" w:ascii="仿宋_GB2312" w:hAnsi="仿宋_GB2312" w:cs="仿宋_GB2312"/>
          <w:szCs w:val="32"/>
          <w:lang w:val="zh-CN"/>
        </w:rPr>
        <w:t>。</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2021年，拨付呈贡区第一中学、云大附中呈贡校区、四川师范大学附属昆明实验学校（天娇校区）、呈贡区第一幼儿园、呈贡区第二幼儿园、呈贡区第三幼儿园等28所学校（幼儿园）2021年第一批完成“网络明厨亮灶”学校（幼儿园）建设补助资金7.326万元；用于校园卫生、疫情防控7.1694万元；拨付呈贡区第二小学、云南师范大学附属七彩云南小学“创建市级心理健康示范校经费”2.00万元；</w:t>
      </w:r>
      <w:r>
        <w:rPr>
          <w:rFonts w:hint="eastAsia" w:ascii="仿宋_GB2312" w:hAnsi="仿宋_GB2312" w:eastAsia="仿宋_GB2312" w:cs="仿宋_GB2312"/>
          <w:color w:val="000000"/>
          <w:szCs w:val="32"/>
        </w:rPr>
        <w:t>下拨无偿献血补助资金2.088万元；购买疫情防疫物资1.4141万元。</w:t>
      </w:r>
    </w:p>
    <w:p>
      <w:pPr>
        <w:topLinePunct/>
        <w:ind w:firstLine="594" w:firstLineChars="200"/>
        <w:rPr>
          <w:rFonts w:ascii="黑体" w:eastAsia="黑体"/>
          <w:szCs w:val="32"/>
        </w:rPr>
      </w:pPr>
      <w:r>
        <w:rPr>
          <w:rFonts w:hint="eastAsia" w:ascii="黑体" w:eastAsia="黑体"/>
          <w:szCs w:val="32"/>
        </w:rPr>
        <w:t>三、项目组织实施情况</w:t>
      </w:r>
    </w:p>
    <w:p>
      <w:pPr>
        <w:snapToGrid w:val="0"/>
        <w:spacing w:line="560" w:lineRule="exact"/>
        <w:ind w:firstLine="594"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1.按照区委区政府、区食安办的相关工作要求做好食品安全与营养健康知识宣传教育工作，及时下发食堂及食品安全相关文件，组织学校（幼儿园）分管领导、从业人员参与各级各类培训，全年共计 351人次参加。对标对准规范食堂管理，落实主体责任，明厨亮灶达标率100% ，截止12月31日，58所学校（幼儿园）完成“网络明厨亮灶”建设，占比为71.60</w:t>
      </w:r>
      <w:r>
        <w:rPr>
          <w:rFonts w:hint="eastAsia" w:ascii="仿宋_GB2312" w:hAnsi="仿宋_GB2312" w:cs="仿宋_GB2312"/>
          <w:color w:val="000000"/>
          <w:szCs w:val="32"/>
          <w:lang w:val="en-US" w:eastAsia="zh-CN"/>
        </w:rPr>
        <w:t>%</w:t>
      </w:r>
      <w:r>
        <w:rPr>
          <w:rFonts w:hint="eastAsia" w:ascii="仿宋_GB2312" w:hAnsi="仿宋_GB2312" w:eastAsia="仿宋_GB2312" w:cs="仿宋_GB2312"/>
          <w:color w:val="000000"/>
          <w:szCs w:val="32"/>
        </w:rPr>
        <w:t>。继续推进“六T”管理，积极动员组织有食堂的校（园）申报昆明市2021年“六T”达标食堂，经过市教体局评选，实验学校、区一幼、区二幼等25所校（园）被评为“六T”达标食堂，其中师大附属呈贡幼儿园等4所校（园）被评为“六T”示范食堂。继续加强学校、幼儿园食品安全监管，持续开展校园食品安全专项守护行动，2021年春、秋季开学检查覆盖率100%，督促学校（幼儿园）严格落实食品安全校（园）长责任制、陪餐制、大宗物品采购制度等。全区各学校、幼儿园全年无食品安全事故发生。</w:t>
      </w:r>
    </w:p>
    <w:p>
      <w:pPr>
        <w:snapToGrid w:val="0"/>
        <w:spacing w:line="560" w:lineRule="exact"/>
        <w:ind w:firstLine="594"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认真贯彻落实各级疫情指挥部文件要求和部署，严格执行各项防控措施，积极安排部署相关工作。全年及时转发上级来文10个，出台了《昆明市呈贡区教育体育局关于做好暑期校园新冠肺炎疫情及传染病防治工作的通知》《呈贡区中小学幼儿园2021年秋季学期开学工作方案》、《呈贡区教育体育局关于做好当前新冠肺炎疫情防控工作的紧急通知》、《2021年今冬明春校园新冠肺炎疫情和传染病防控工作的通知》等8个文件，共计召开10次疫情防控工作推进会。积极推进教职工及3-17岁学生疫苗接种工作。共组织开展了3次教职工集中接种，6次在校学生集中接种。截至2022年1月27日，全区教职工接种率92.5%，15—17岁人群接种率 92.48% ，12—14岁人群接种率88.93%，3—11岁人群接种率98.33%（第二针剂94.96%）。就疫苗接种推进答复12345投诉件61个，满意率95%，确保了呈贡区教育体育系统教职工和3—17岁人群“应种尽种”。</w:t>
      </w:r>
    </w:p>
    <w:p>
      <w:pPr>
        <w:snapToGrid w:val="0"/>
        <w:spacing w:line="56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color w:val="000000"/>
          <w:szCs w:val="32"/>
        </w:rPr>
        <w:t>3.</w:t>
      </w:r>
      <w:r>
        <w:rPr>
          <w:rFonts w:hint="eastAsia" w:ascii="仿宋_GB2312" w:hAnsi="仿宋_GB2312" w:eastAsia="仿宋_GB2312" w:cs="仿宋_GB2312"/>
          <w:szCs w:val="32"/>
        </w:rPr>
        <w:t>按照区禁毒办要求，督促学校做好全国青少年毒品预防教育数字平台“青骄第二课堂”学生注册、课时学习、知识竞赛等工作。全区34所中小学均在规定时间内达到学校接入率、学生注册率、课时完成率三个100%，平均课时数达到4.83课时。组织呈贡区实验学校，呈贡一中参与昆明市2021年中学生禁毒防艾及卫生知识竞赛获二等奖及优秀组织奖。呈贡区实验学校评获2021年区级禁毒示范校。教育工作中，做到教学计划、教学材料、课时、师资“四到位”，防艾宣传教育活动开课率100%。</w:t>
      </w:r>
    </w:p>
    <w:p>
      <w:pPr>
        <w:snapToGrid w:val="0"/>
        <w:spacing w:line="560" w:lineRule="exact"/>
        <w:ind w:firstLine="640"/>
        <w:rPr>
          <w:rFonts w:ascii="仿宋" w:hAnsi="仿宋" w:eastAsia="仿宋"/>
          <w:color w:val="000000"/>
          <w:szCs w:val="32"/>
        </w:rPr>
      </w:pPr>
      <w:r>
        <w:rPr>
          <w:rFonts w:hint="eastAsia" w:ascii="仿宋_GB2312" w:hAnsi="仿宋_GB2312" w:eastAsia="仿宋_GB2312" w:cs="仿宋_GB2312"/>
          <w:color w:val="000000"/>
          <w:szCs w:val="32"/>
        </w:rPr>
        <w:t>4.组织区教育体育系统116人参加2021年无偿献血活动，超额完成区政府年初下达100人的目标任务，让教育体育系统志愿者行动成良性发展态势。</w:t>
      </w:r>
    </w:p>
    <w:p>
      <w:pPr>
        <w:topLinePunct/>
        <w:ind w:firstLine="594" w:firstLineChars="200"/>
        <w:rPr>
          <w:rFonts w:ascii="黑体" w:eastAsia="黑体"/>
          <w:szCs w:val="32"/>
        </w:rPr>
      </w:pPr>
      <w:r>
        <w:rPr>
          <w:rFonts w:hint="eastAsia" w:ascii="黑体" w:eastAsia="黑体"/>
          <w:szCs w:val="32"/>
        </w:rPr>
        <w:t>四、项目绩效情况</w:t>
      </w:r>
    </w:p>
    <w:p>
      <w:pPr>
        <w:spacing w:line="560" w:lineRule="exact"/>
        <w:ind w:firstLine="594" w:firstLineChars="200"/>
        <w:rPr>
          <w:rFonts w:ascii="仿宋_GB2312" w:hAnsi="仿宋_GB2312" w:cs="仿宋_GB2312"/>
          <w:szCs w:val="32"/>
        </w:rPr>
      </w:pPr>
      <w:r>
        <w:rPr>
          <w:rFonts w:hint="eastAsia" w:ascii="仿宋_GB2312"/>
          <w:szCs w:val="32"/>
        </w:rPr>
        <w:t>呈贡区各学校（幼儿园）均严格遵循《学校食品安全与营养健康管理规定》、《中华人民共和国食品安全法》的相关规定，《学校卫生工作条例》、《中小学校传染病防控工作管理规范》、《云南省教育厅关于做好当前教育系统疫情防控工作的通知》等要求，切实做好校园食品安全与营养健康管理工作、卫生、传染病防治、疫情防控工作。</w:t>
      </w:r>
      <w:r>
        <w:rPr>
          <w:rFonts w:hint="eastAsia" w:ascii="仿宋_GB2312" w:hAnsi="仿宋_GB2312" w:cs="仿宋_GB2312"/>
          <w:szCs w:val="32"/>
        </w:rPr>
        <w:t>资金严格按照相关管理制度规定执行，资金使用合规、合法，充分发挥使用效率，无存在问题。今后，会依旧严格执行资金使用制度，规范资金使用用途，积极发挥资金使用的最大效用。</w:t>
      </w:r>
    </w:p>
    <w:p>
      <w:pPr>
        <w:topLinePunct/>
        <w:ind w:firstLine="594" w:firstLineChars="200"/>
        <w:rPr>
          <w:rFonts w:ascii="黑体" w:eastAsia="黑体"/>
          <w:szCs w:val="32"/>
        </w:rPr>
      </w:pPr>
      <w:r>
        <w:rPr>
          <w:rFonts w:hint="eastAsia" w:ascii="黑体" w:eastAsia="黑体"/>
          <w:szCs w:val="32"/>
        </w:rPr>
        <w:t>五、存在的问题</w:t>
      </w:r>
    </w:p>
    <w:p>
      <w:pPr>
        <w:topLinePunct/>
        <w:spacing w:line="560" w:lineRule="exact"/>
        <w:ind w:firstLine="594" w:firstLineChars="200"/>
        <w:rPr>
          <w:rFonts w:ascii="仿宋_GB2312"/>
          <w:szCs w:val="32"/>
        </w:rPr>
      </w:pPr>
      <w:bookmarkStart w:id="0" w:name="_GoBack"/>
      <w:r>
        <w:rPr>
          <w:rFonts w:hint="eastAsia" w:ascii="仿宋_GB2312"/>
          <w:szCs w:val="32"/>
        </w:rPr>
        <w:t>各学校（幼儿园）均加强了经费的管理和使用，本着厉行节约，反对浪费，未出现虚列虚支、虚报冒领和挤占挪用，确保按规定用途使用，无存在问题。</w:t>
      </w:r>
    </w:p>
    <w:bookmarkEnd w:id="0"/>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楷体_GB2312" w:hAnsi="楷体_GB2312" w:eastAsia="楷体_GB2312" w:cs="楷体_GB2312"/>
          <w:szCs w:val="32"/>
        </w:rPr>
        <w:t>（一）后续工作计划</w:t>
      </w:r>
    </w:p>
    <w:p>
      <w:pPr>
        <w:spacing w:line="560" w:lineRule="exact"/>
        <w:ind w:firstLine="594" w:firstLineChars="200"/>
        <w:rPr>
          <w:szCs w:val="32"/>
        </w:rPr>
      </w:pPr>
      <w:r>
        <w:rPr>
          <w:rFonts w:hint="eastAsia" w:ascii="仿宋_GB2312"/>
          <w:szCs w:val="32"/>
        </w:rPr>
        <w:t>该项目资金严格按照相关管理制度规定执行，资金使用合规、合法，充分发挥使用效率，无存在问题。今后，会依旧严格执行资金使用制度，规范资金使用用途，积极发挥资金使用的最大效用。</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spacing w:line="56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rPr>
        <w:t>1.继续联合相关部门开展食品安全守护行动，</w:t>
      </w:r>
      <w:r>
        <w:rPr>
          <w:rFonts w:hint="eastAsia" w:ascii="仿宋_GB2312" w:hAnsi="仿宋_GB2312" w:eastAsia="仿宋_GB2312" w:cs="仿宋_GB2312"/>
          <w:szCs w:val="32"/>
        </w:rPr>
        <w:t>督促学校完成网络明厨亮灶工程，落实食堂6T 和A级厨房完成率公办学校（园）争取达100%。不断改善学校食堂管理水平和卫生状况。</w:t>
      </w:r>
    </w:p>
    <w:p>
      <w:pPr>
        <w:spacing w:line="560" w:lineRule="exact"/>
        <w:ind w:firstLine="593"/>
        <w:rPr>
          <w:rFonts w:hint="eastAsia" w:ascii="仿宋_GB2312" w:hAnsi="仿宋_GB2312" w:eastAsia="仿宋_GB2312" w:cs="仿宋_GB2312"/>
          <w:szCs w:val="32"/>
        </w:rPr>
      </w:pPr>
      <w:r>
        <w:rPr>
          <w:rFonts w:hint="eastAsia" w:ascii="仿宋_GB2312" w:hAnsi="仿宋_GB2312" w:eastAsia="仿宋_GB2312" w:cs="仿宋_GB2312"/>
        </w:rPr>
        <w:t>2.</w:t>
      </w:r>
      <w:r>
        <w:rPr>
          <w:rFonts w:hint="eastAsia" w:ascii="仿宋_GB2312" w:hAnsi="仿宋_GB2312" w:eastAsia="仿宋_GB2312" w:cs="仿宋_GB2312"/>
          <w:szCs w:val="32"/>
        </w:rPr>
        <w:t>继续实施校园卫生监督行动，结合爱国卫生专项行动积极开展丰富的校园环境卫生清洁及常消毒系列活动。常态化做好学校禁毒防艾、传染病防控等工作。抓好学校心理健康教育工作，德育科牵头成立“呈贡区师生心理健康工作室”。认真做好综合防控儿童青少年近视工作和传染病防治宣传教育和监控工作。</w:t>
      </w:r>
    </w:p>
    <w:p>
      <w:pPr>
        <w:spacing w:line="560" w:lineRule="exact"/>
        <w:ind w:firstLine="593"/>
        <w:rPr>
          <w:rFonts w:hint="eastAsia" w:ascii="仿宋_GB2312" w:hAnsi="仿宋_GB2312" w:eastAsia="仿宋_GB2312" w:cs="仿宋_GB2312"/>
          <w:szCs w:val="32"/>
        </w:rPr>
      </w:pPr>
      <w:r>
        <w:rPr>
          <w:rFonts w:hint="eastAsia" w:ascii="仿宋_GB2312" w:hAnsi="仿宋_GB2312" w:eastAsia="仿宋_GB2312" w:cs="仿宋_GB2312"/>
          <w:szCs w:val="32"/>
        </w:rPr>
        <w:t>3.做好校园疫情防控各项工作。</w:t>
      </w: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F2A5E"/>
    <w:multiLevelType w:val="singleLevel"/>
    <w:tmpl w:val="795F2A5E"/>
    <w:lvl w:ilvl="0" w:tentative="0">
      <w:start w:val="2"/>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1C3D64"/>
    <w:rsid w:val="001C3D64"/>
    <w:rsid w:val="00743B0F"/>
    <w:rsid w:val="00AD4ED6"/>
    <w:rsid w:val="05AE36CA"/>
    <w:rsid w:val="0AC02A7B"/>
    <w:rsid w:val="378A5996"/>
    <w:rsid w:val="3C9D4775"/>
    <w:rsid w:val="598B6434"/>
    <w:rsid w:val="5A3C6978"/>
    <w:rsid w:val="66032A9F"/>
    <w:rsid w:val="67600811"/>
    <w:rsid w:val="71A92418"/>
    <w:rsid w:val="7E7D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2293</Words>
  <Characters>2445</Characters>
  <Lines>17</Lines>
  <Paragraphs>4</Paragraphs>
  <TotalTime>35</TotalTime>
  <ScaleCrop>false</ScaleCrop>
  <LinksUpToDate>false</LinksUpToDate>
  <CharactersWithSpaces>2450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2022-09-27T07:28:33Z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29998F3D30D9469CAF59F027CDE25A0B</vt:lpwstr>
  </property>
</Properties>
</file>