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44"/>
          <w:szCs w:val="44"/>
        </w:rPr>
        <w:t>2021年督导工作专项资金</w:t>
      </w:r>
      <w:r>
        <w:rPr>
          <w:rFonts w:hint="eastAsia" w:ascii="方正小标宋_GBK" w:eastAsia="方正小标宋_GBK"/>
          <w:sz w:val="44"/>
          <w:szCs w:val="44"/>
          <w:lang w:val="en-US" w:eastAsia="zh-CN"/>
        </w:rPr>
        <w:t xml:space="preserve"> 语言文字工作专项资金</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ind w:firstLine="594" w:firstLineChars="200"/>
        <w:jc w:val="both"/>
        <w:outlineLvl w:val="0"/>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一</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项目基本情况简介</w:t>
      </w:r>
    </w:p>
    <w:p>
      <w:pPr>
        <w:ind w:firstLine="594" w:firstLineChars="200"/>
        <w:jc w:val="both"/>
        <w:outlineLvl w:val="0"/>
        <w:rPr>
          <w:rFonts w:hint="eastAsia" w:ascii="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2021年督导工作专项资金和</w:t>
      </w:r>
      <w:r>
        <w:rPr>
          <w:rFonts w:hint="eastAsia" w:ascii="仿宋_GB2312"/>
          <w:color w:val="000000" w:themeColor="text1"/>
          <w:szCs w:val="32"/>
          <w:lang w:val="en-US" w:eastAsia="zh-CN"/>
          <w14:textFill>
            <w14:solidFill>
              <w14:schemeClr w14:val="tx1"/>
            </w14:solidFill>
          </w14:textFill>
        </w:rPr>
        <w:t>语言文字工作专项资金两</w:t>
      </w:r>
      <w:r>
        <w:rPr>
          <w:rFonts w:hint="eastAsia" w:ascii="仿宋_GB2312"/>
          <w:color w:val="000000" w:themeColor="text1"/>
          <w:szCs w:val="32"/>
          <w:lang w:eastAsia="zh-CN"/>
          <w14:textFill>
            <w14:solidFill>
              <w14:schemeClr w14:val="tx1"/>
            </w14:solidFill>
          </w14:textFill>
        </w:rPr>
        <w:t>项经费</w:t>
      </w:r>
      <w:r>
        <w:rPr>
          <w:rFonts w:hint="eastAsia" w:ascii="仿宋_GB2312"/>
          <w:color w:val="000000" w:themeColor="text1"/>
          <w:szCs w:val="32"/>
          <w14:textFill>
            <w14:solidFill>
              <w14:schemeClr w14:val="tx1"/>
            </w14:solidFill>
          </w14:textFill>
        </w:rPr>
        <w:t>预算项目资金严格按照年初工作计划，按要求和时限</w:t>
      </w:r>
      <w:r>
        <w:rPr>
          <w:rFonts w:hint="eastAsia" w:ascii="仿宋_GB2312"/>
          <w:color w:val="000000" w:themeColor="text1"/>
          <w:szCs w:val="32"/>
          <w:lang w:eastAsia="zh-CN"/>
          <w14:textFill>
            <w14:solidFill>
              <w14:schemeClr w14:val="tx1"/>
            </w14:solidFill>
          </w14:textFill>
        </w:rPr>
        <w:t>开展语言文字</w:t>
      </w:r>
      <w:r>
        <w:rPr>
          <w:rFonts w:hint="eastAsia" w:ascii="仿宋_GB2312"/>
          <w:color w:val="000000" w:themeColor="text1"/>
          <w:szCs w:val="32"/>
          <w:lang w:val="en-US" w:eastAsia="zh-CN"/>
          <w14:textFill>
            <w14:solidFill>
              <w14:schemeClr w14:val="tx1"/>
            </w14:solidFill>
          </w14:textFill>
        </w:rPr>
        <w:t>规范化达标校建设、校园</w:t>
      </w:r>
      <w:r>
        <w:rPr>
          <w:rFonts w:hint="eastAsia" w:ascii="仿宋_GB2312"/>
          <w:color w:val="000000" w:themeColor="text1"/>
          <w:szCs w:val="32"/>
          <w:lang w:eastAsia="zh-CN"/>
          <w14:textFill>
            <w14:solidFill>
              <w14:schemeClr w14:val="tx1"/>
            </w14:solidFill>
          </w14:textFill>
        </w:rPr>
        <w:t>督导评估和推普周等工作，开展</w:t>
      </w:r>
      <w:r>
        <w:rPr>
          <w:rFonts w:hint="eastAsia" w:ascii="仿宋_GB2312"/>
          <w:color w:val="000000" w:themeColor="text1"/>
          <w:szCs w:val="32"/>
          <w:lang w:val="en-US" w:eastAsia="zh-CN"/>
          <w14:textFill>
            <w14:solidFill>
              <w14:schemeClr w14:val="tx1"/>
            </w14:solidFill>
          </w14:textFill>
        </w:rPr>
        <w:t>云南省对呈贡区人民政府履行教育工作督导评估材料准备、校（园）晋级升等区级评估</w:t>
      </w:r>
      <w:r>
        <w:rPr>
          <w:rFonts w:hint="eastAsia" w:ascii="仿宋_GB2312"/>
          <w:color w:val="000000" w:themeColor="text1"/>
          <w:szCs w:val="32"/>
          <w:lang w:eastAsia="zh-CN"/>
          <w14:textFill>
            <w14:solidFill>
              <w14:schemeClr w14:val="tx1"/>
            </w14:solidFill>
          </w14:textFill>
        </w:rPr>
        <w:t>、国家义务教育质量监测、</w:t>
      </w:r>
      <w:r>
        <w:rPr>
          <w:rFonts w:hint="eastAsia" w:ascii="仿宋_GB2312"/>
          <w:color w:val="000000" w:themeColor="text1"/>
          <w:szCs w:val="32"/>
          <w:lang w:val="en-US" w:eastAsia="zh-CN"/>
          <w14:textFill>
            <w14:solidFill>
              <w14:schemeClr w14:val="tx1"/>
            </w14:solidFill>
          </w14:textFill>
        </w:rPr>
        <w:t>专项督导</w:t>
      </w:r>
      <w:r>
        <w:rPr>
          <w:rFonts w:hint="eastAsia" w:ascii="仿宋_GB2312"/>
          <w:color w:val="000000" w:themeColor="text1"/>
          <w:szCs w:val="32"/>
          <w:lang w:eastAsia="zh-CN"/>
          <w14:textFill>
            <w14:solidFill>
              <w14:schemeClr w14:val="tx1"/>
            </w14:solidFill>
          </w14:textFill>
        </w:rPr>
        <w:t>、培训等工作。</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1.绩效目标设定情况</w:t>
      </w:r>
    </w:p>
    <w:p>
      <w:pPr>
        <w:topLinePunct/>
        <w:ind w:firstLine="594" w:firstLineChars="200"/>
        <w:rPr>
          <w:rFonts w:hint="default"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本次项目2021年督导工作专项资金项目、</w:t>
      </w:r>
      <w:r>
        <w:rPr>
          <w:rFonts w:hint="eastAsia" w:ascii="仿宋_GB2312"/>
          <w:color w:val="000000" w:themeColor="text1"/>
          <w:szCs w:val="32"/>
          <w:lang w:val="en-US" w:eastAsia="zh-CN"/>
          <w14:textFill>
            <w14:solidFill>
              <w14:schemeClr w14:val="tx1"/>
            </w14:solidFill>
          </w14:textFill>
        </w:rPr>
        <w:t>语言文字工作专项资金</w:t>
      </w:r>
      <w:r>
        <w:rPr>
          <w:rFonts w:hint="eastAsia" w:ascii="仿宋_GB2312" w:hAnsi="仿宋_GB2312" w:cs="仿宋_GB2312"/>
          <w:color w:val="000000" w:themeColor="text1"/>
          <w:szCs w:val="32"/>
          <w:lang w:val="en-US" w:eastAsia="zh-CN"/>
          <w14:textFill>
            <w14:solidFill>
              <w14:schemeClr w14:val="tx1"/>
            </w14:solidFill>
          </w14:textFill>
        </w:rPr>
        <w:t>项目按年初预算安排区级资金28万元。</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2.指标完成情况</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default"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2021年督导工作专项资金项目计划资金25万元,截止2021年12月30日，实际支出22.87万元，完成率91.5%。</w:t>
      </w:r>
      <w:r>
        <w:rPr>
          <w:rFonts w:hint="eastAsia" w:ascii="仿宋_GB2312"/>
          <w:color w:val="000000" w:themeColor="text1"/>
          <w:szCs w:val="32"/>
          <w:lang w:val="en-US" w:eastAsia="zh-CN"/>
          <w14:textFill>
            <w14:solidFill>
              <w14:schemeClr w14:val="tx1"/>
            </w14:solidFill>
          </w14:textFill>
        </w:rPr>
        <w:t>语言文字工作专项资金</w:t>
      </w:r>
      <w:r>
        <w:rPr>
          <w:rFonts w:hint="eastAsia" w:ascii="仿宋_GB2312" w:hAnsi="仿宋_GB2312" w:cs="仿宋_GB2312"/>
          <w:color w:val="000000" w:themeColor="text1"/>
          <w:szCs w:val="32"/>
          <w:lang w:val="en-US" w:eastAsia="zh-CN"/>
          <w14:textFill>
            <w14:solidFill>
              <w14:schemeClr w14:val="tx1"/>
            </w14:solidFill>
          </w14:textFill>
        </w:rPr>
        <w:t>计划资金3万元，截止2021年12月30日，实际支出3万元，完成率100%。</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topLinePunct/>
        <w:ind w:firstLine="594" w:firstLineChars="200"/>
        <w:rPr>
          <w:rFonts w:hint="eastAsia" w:ascii="仿宋_GB2312" w:hAnsi="仿宋_GB2312" w:cs="仿宋_GB2312"/>
          <w:szCs w:val="32"/>
        </w:rPr>
      </w:pPr>
      <w:r>
        <w:rPr>
          <w:rFonts w:hint="eastAsia" w:ascii="仿宋_GB2312" w:hAnsi="仿宋_GB2312" w:cs="仿宋_GB2312"/>
          <w:color w:val="000000" w:themeColor="text1"/>
          <w:szCs w:val="32"/>
          <w:lang w:val="en-US" w:eastAsia="zh-CN"/>
          <w14:textFill>
            <w14:solidFill>
              <w14:schemeClr w14:val="tx1"/>
            </w14:solidFill>
          </w14:textFill>
        </w:rPr>
        <w:t>2021年督导工作专项资金项目计划资金25万元，</w:t>
      </w:r>
      <w:r>
        <w:rPr>
          <w:rFonts w:hint="eastAsia" w:ascii="仿宋_GB2312"/>
          <w:color w:val="000000" w:themeColor="text1"/>
          <w:szCs w:val="32"/>
          <w:lang w:val="en-US" w:eastAsia="zh-CN"/>
          <w14:textFill>
            <w14:solidFill>
              <w14:schemeClr w14:val="tx1"/>
            </w14:solidFill>
          </w14:textFill>
        </w:rPr>
        <w:t>语言文字工作专项资金</w:t>
      </w:r>
      <w:r>
        <w:rPr>
          <w:rFonts w:hint="eastAsia" w:ascii="仿宋_GB2312" w:hAnsi="仿宋_GB2312" w:cs="仿宋_GB2312"/>
          <w:color w:val="000000" w:themeColor="text1"/>
          <w:szCs w:val="32"/>
          <w:lang w:val="en-US" w:eastAsia="zh-CN"/>
          <w14:textFill>
            <w14:solidFill>
              <w14:schemeClr w14:val="tx1"/>
            </w14:solidFill>
          </w14:textFill>
        </w:rPr>
        <w:t>项目计划资金3万元，</w:t>
      </w:r>
      <w:r>
        <w:rPr>
          <w:rFonts w:hint="eastAsia" w:ascii="仿宋_GB2312"/>
          <w:color w:val="000000" w:themeColor="text1"/>
          <w:szCs w:val="32"/>
          <w14:textFill>
            <w14:solidFill>
              <w14:schemeClr w14:val="tx1"/>
            </w14:solidFill>
          </w14:textFill>
        </w:rPr>
        <w:t>项目管理严格按照上级督导部门</w:t>
      </w:r>
      <w:r>
        <w:rPr>
          <w:rFonts w:hint="eastAsia" w:ascii="仿宋_GB2312"/>
          <w:color w:val="000000" w:themeColor="text1"/>
          <w:szCs w:val="32"/>
          <w:lang w:eastAsia="zh-CN"/>
          <w14:textFill>
            <w14:solidFill>
              <w14:schemeClr w14:val="tx1"/>
            </w14:solidFill>
          </w14:textFill>
        </w:rPr>
        <w:t>和</w:t>
      </w:r>
      <w:r>
        <w:rPr>
          <w:rFonts w:hint="eastAsia" w:ascii="仿宋_GB2312"/>
          <w:color w:val="000000" w:themeColor="text1"/>
          <w:szCs w:val="32"/>
          <w:lang w:val="en-US" w:eastAsia="zh-CN"/>
          <w14:textFill>
            <w14:solidFill>
              <w14:schemeClr w14:val="tx1"/>
            </w14:solidFill>
          </w14:textFill>
        </w:rPr>
        <w:t>市</w:t>
      </w:r>
      <w:r>
        <w:rPr>
          <w:rFonts w:hint="eastAsia" w:ascii="仿宋_GB2312"/>
          <w:color w:val="000000" w:themeColor="text1"/>
          <w:szCs w:val="32"/>
          <w:lang w:eastAsia="zh-CN"/>
          <w14:textFill>
            <w14:solidFill>
              <w14:schemeClr w14:val="tx1"/>
            </w14:solidFill>
          </w14:textFill>
        </w:rPr>
        <w:t>语委办</w:t>
      </w:r>
      <w:r>
        <w:rPr>
          <w:rFonts w:hint="eastAsia" w:ascii="仿宋_GB2312"/>
          <w:color w:val="000000" w:themeColor="text1"/>
          <w:szCs w:val="32"/>
          <w14:textFill>
            <w14:solidFill>
              <w14:schemeClr w14:val="tx1"/>
            </w14:solidFill>
          </w14:textFill>
        </w:rPr>
        <w:t>年初安排的</w:t>
      </w:r>
      <w:r>
        <w:rPr>
          <w:rFonts w:hint="eastAsia" w:ascii="仿宋_GB2312"/>
          <w:color w:val="000000" w:themeColor="text1"/>
          <w:szCs w:val="32"/>
          <w:lang w:val="en-US" w:eastAsia="zh-CN"/>
          <w14:textFill>
            <w14:solidFill>
              <w14:schemeClr w14:val="tx1"/>
            </w14:solidFill>
          </w14:textFill>
        </w:rPr>
        <w:t>校园晋级升等评估</w:t>
      </w:r>
      <w:r>
        <w:rPr>
          <w:rFonts w:hint="eastAsia" w:ascii="仿宋_GB2312"/>
          <w:color w:val="000000" w:themeColor="text1"/>
          <w:szCs w:val="32"/>
          <w:lang w:eastAsia="zh-CN"/>
          <w14:textFill>
            <w14:solidFill>
              <w14:schemeClr w14:val="tx1"/>
            </w14:solidFill>
          </w14:textFill>
        </w:rPr>
        <w:t>、语言文字</w:t>
      </w:r>
      <w:r>
        <w:rPr>
          <w:rFonts w:hint="eastAsia" w:ascii="仿宋_GB2312"/>
          <w:color w:val="000000" w:themeColor="text1"/>
          <w:szCs w:val="32"/>
          <w:lang w:val="en-US" w:eastAsia="zh-CN"/>
          <w14:textFill>
            <w14:solidFill>
              <w14:schemeClr w14:val="tx1"/>
            </w14:solidFill>
          </w14:textFill>
        </w:rPr>
        <w:t>达标</w:t>
      </w:r>
      <w:r>
        <w:rPr>
          <w:rFonts w:hint="eastAsia" w:ascii="仿宋_GB2312"/>
          <w:color w:val="000000" w:themeColor="text1"/>
          <w:szCs w:val="32"/>
          <w:lang w:eastAsia="zh-CN"/>
          <w14:textFill>
            <w14:solidFill>
              <w14:schemeClr w14:val="tx1"/>
            </w14:solidFill>
          </w14:textFill>
        </w:rPr>
        <w:t>校</w:t>
      </w:r>
      <w:r>
        <w:rPr>
          <w:rFonts w:hint="eastAsia" w:ascii="仿宋_GB2312"/>
          <w:color w:val="000000" w:themeColor="text1"/>
          <w:szCs w:val="32"/>
          <w:lang w:val="en-US" w:eastAsia="zh-CN"/>
          <w14:textFill>
            <w14:solidFill>
              <w14:schemeClr w14:val="tx1"/>
            </w14:solidFill>
          </w14:textFill>
        </w:rPr>
        <w:t>创建</w:t>
      </w:r>
      <w:r>
        <w:rPr>
          <w:rFonts w:hint="eastAsia" w:ascii="仿宋_GB2312"/>
          <w:color w:val="000000" w:themeColor="text1"/>
          <w:szCs w:val="32"/>
          <w:lang w:eastAsia="zh-CN"/>
          <w14:textFill>
            <w14:solidFill>
              <w14:schemeClr w14:val="tx1"/>
            </w14:solidFill>
          </w14:textFill>
        </w:rPr>
        <w:t>、国家义务教育质量监测等</w:t>
      </w:r>
      <w:r>
        <w:rPr>
          <w:rFonts w:hint="eastAsia" w:ascii="仿宋_GB2312"/>
          <w:color w:val="000000" w:themeColor="text1"/>
          <w:szCs w:val="32"/>
          <w:lang w:val="en-US" w:eastAsia="zh-CN"/>
          <w14:textFill>
            <w14:solidFill>
              <w14:schemeClr w14:val="tx1"/>
            </w14:solidFill>
          </w14:textFill>
        </w:rPr>
        <w:t>工作</w:t>
      </w:r>
      <w:r>
        <w:rPr>
          <w:rFonts w:hint="eastAsia" w:ascii="仿宋_GB2312"/>
          <w:color w:val="000000" w:themeColor="text1"/>
          <w:szCs w:val="32"/>
          <w14:textFill>
            <w14:solidFill>
              <w14:schemeClr w14:val="tx1"/>
            </w14:solidFill>
          </w14:textFill>
        </w:rPr>
        <w:t>任务目标和阶段性工作目标按时限推进</w:t>
      </w:r>
      <w:r>
        <w:rPr>
          <w:rFonts w:hint="eastAsia" w:ascii="仿宋_GB2312"/>
          <w:color w:val="000000" w:themeColor="text1"/>
          <w:szCs w:val="32"/>
          <w:lang w:val="en-US" w:eastAsia="zh-CN"/>
          <w14:textFill>
            <w14:solidFill>
              <w14:schemeClr w14:val="tx1"/>
            </w14:solidFill>
          </w14:textFill>
        </w:rPr>
        <w:t>实施</w:t>
      </w:r>
      <w:r>
        <w:rPr>
          <w:rFonts w:hint="eastAsia" w:ascii="仿宋_GB2312"/>
          <w:color w:val="000000" w:themeColor="text1"/>
          <w:szCs w:val="32"/>
          <w14:textFill>
            <w14:solidFill>
              <w14:schemeClr w14:val="tx1"/>
            </w14:solidFill>
          </w14:textFill>
        </w:rPr>
        <w:t>。</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ind w:firstLine="594"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Cs w:val="32"/>
          <w:lang w:val="en-US" w:eastAsia="zh-CN"/>
          <w14:textFill>
            <w14:solidFill>
              <w14:schemeClr w14:val="tx1"/>
            </w14:solidFill>
          </w14:textFill>
        </w:rPr>
        <w:t>（一）2021年督导工作专项资金。</w:t>
      </w:r>
      <w:r>
        <w:rPr>
          <w:rFonts w:hint="eastAsia" w:ascii="仿宋_GB2312" w:hAnsi="仿宋_GB2312" w:cs="仿宋_GB2312"/>
          <w:color w:val="000000" w:themeColor="text1"/>
          <w:szCs w:val="32"/>
          <w:lang w:val="en-US" w:eastAsia="zh-CN"/>
          <w14:textFill>
            <w14:solidFill>
              <w14:schemeClr w14:val="tx1"/>
            </w14:solidFill>
          </w14:textFill>
        </w:rPr>
        <w:t>项目资金为25万元，主要用于支付对锦绣雅郡幼儿园、和平天使幼儿园、快乐谷幼儿园、艾尔西幼儿园等晋级升等专家评审费；</w:t>
      </w:r>
      <w:r>
        <w:rPr>
          <w:rFonts w:hint="eastAsia" w:ascii="仿宋_GB2312" w:hAnsi="仿宋_GB2312" w:cs="仿宋_GB2312"/>
          <w:color w:val="000000" w:themeColor="text1"/>
          <w:sz w:val="32"/>
          <w:szCs w:val="32"/>
          <w:lang w:val="en-US" w:eastAsia="zh-CN"/>
          <w14:textFill>
            <w14:solidFill>
              <w14:schemeClr w14:val="tx1"/>
            </w14:solidFill>
          </w14:textFill>
        </w:rPr>
        <w:t>订阅《学校教育督导评估评价与现代教育技术应用手册》《全国教育督导工作规范与学校各项教务监督检查制度全集》等；</w:t>
      </w:r>
      <w:r>
        <w:rPr>
          <w:rFonts w:hint="eastAsia" w:ascii="仿宋_GB2312" w:hAnsi="仿宋_GB2312" w:eastAsia="仿宋_GB2312" w:cs="仿宋_GB2312"/>
          <w:color w:val="000000" w:themeColor="text1"/>
          <w:sz w:val="32"/>
          <w:szCs w:val="32"/>
          <w14:textFill>
            <w14:solidFill>
              <w14:schemeClr w14:val="tx1"/>
            </w14:solidFill>
          </w14:textFill>
        </w:rPr>
        <w:t>支付督导牌、督学牌制作费</w:t>
      </w:r>
      <w:r>
        <w:rPr>
          <w:rFonts w:hint="eastAsia" w:ascii="仿宋_GB2312" w:hAnsi="仿宋_GB2312" w:cs="仿宋_GB2312"/>
          <w:color w:val="000000" w:themeColor="text1"/>
          <w:sz w:val="32"/>
          <w:szCs w:val="32"/>
          <w:lang w:val="en-US" w:eastAsia="zh-CN"/>
          <w14:textFill>
            <w14:solidFill>
              <w14:schemeClr w14:val="tx1"/>
            </w14:solidFill>
          </w14:textFill>
        </w:rPr>
        <w:t>督导人员外出</w:t>
      </w:r>
      <w:r>
        <w:rPr>
          <w:rFonts w:hint="eastAsia" w:ascii="仿宋_GB2312" w:hAnsi="仿宋_GB2312" w:eastAsia="仿宋_GB2312" w:cs="仿宋_GB2312"/>
          <w:color w:val="000000" w:themeColor="text1"/>
          <w:sz w:val="32"/>
          <w:szCs w:val="32"/>
          <w14:textFill>
            <w14:solidFill>
              <w14:schemeClr w14:val="tx1"/>
            </w14:solidFill>
          </w14:textFill>
        </w:rPr>
        <w:t>学习培训</w:t>
      </w:r>
      <w:r>
        <w:rPr>
          <w:rFonts w:hint="eastAsia" w:ascii="仿宋_GB2312" w:hAnsi="仿宋_GB2312" w:cs="仿宋_GB2312"/>
          <w:color w:val="000000" w:themeColor="text1"/>
          <w:sz w:val="32"/>
          <w:szCs w:val="32"/>
          <w:lang w:val="en-US" w:eastAsia="zh-CN"/>
          <w14:textFill>
            <w14:solidFill>
              <w14:schemeClr w14:val="tx1"/>
            </w14:solidFill>
          </w14:textFill>
        </w:rPr>
        <w:t>费；</w:t>
      </w:r>
      <w:r>
        <w:rPr>
          <w:rFonts w:hint="eastAsia" w:ascii="仿宋_GB2312" w:hAnsi="仿宋_GB2312" w:eastAsia="仿宋_GB2312" w:cs="仿宋_GB2312"/>
          <w:color w:val="000000" w:themeColor="text1"/>
          <w:sz w:val="32"/>
          <w:szCs w:val="32"/>
          <w14:textFill>
            <w14:solidFill>
              <w14:schemeClr w14:val="tx1"/>
            </w14:solidFill>
          </w14:textFill>
        </w:rPr>
        <w:t>呈贡区2021年国家义务教育监测协议费</w:t>
      </w:r>
      <w:r>
        <w:rPr>
          <w:rFonts w:hint="eastAsia" w:ascii="仿宋_GB2312" w:hAnsi="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2021年呈贡区国家义务教育质量监测考试试卷邮寄机要件费</w:t>
      </w:r>
      <w:r>
        <w:rPr>
          <w:rFonts w:hint="eastAsia" w:ascii="仿宋_GB2312" w:hAnsi="仿宋_GB2312" w:cs="仿宋_GB2312"/>
          <w:color w:val="000000" w:themeColor="text1"/>
          <w:sz w:val="32"/>
          <w:szCs w:val="32"/>
          <w:lang w:eastAsia="zh-CN"/>
          <w14:textFill>
            <w14:solidFill>
              <w14:schemeClr w14:val="tx1"/>
            </w14:solidFill>
          </w14:textFill>
        </w:rPr>
        <w:t>以及</w:t>
      </w:r>
      <w:r>
        <w:rPr>
          <w:rFonts w:hint="eastAsia" w:ascii="仿宋_GB2312" w:hAnsi="仿宋_GB2312" w:cs="仿宋_GB2312"/>
          <w:color w:val="000000" w:themeColor="text1"/>
          <w:sz w:val="32"/>
          <w:szCs w:val="32"/>
          <w:lang w:val="en-US" w:eastAsia="zh-CN"/>
          <w14:textFill>
            <w14:solidFill>
              <w14:schemeClr w14:val="tx1"/>
            </w14:solidFill>
          </w14:textFill>
        </w:rPr>
        <w:t>购买办公用品费等，</w:t>
      </w:r>
      <w:r>
        <w:rPr>
          <w:rFonts w:hint="eastAsia" w:ascii="仿宋_GB2312" w:hAnsi="仿宋_GB2312" w:cs="仿宋_GB2312"/>
          <w:color w:val="000000" w:themeColor="text1"/>
          <w:szCs w:val="32"/>
          <w:lang w:val="en-US" w:eastAsia="zh-CN"/>
          <w14:textFill>
            <w14:solidFill>
              <w14:schemeClr w14:val="tx1"/>
            </w14:solidFill>
          </w14:textFill>
        </w:rPr>
        <w:t>督导室日常工作经费</w:t>
      </w:r>
      <w:r>
        <w:rPr>
          <w:rFonts w:hint="eastAsia" w:ascii="仿宋_GB2312" w:hAnsi="仿宋_GB2312" w:cs="仿宋_GB2312"/>
          <w:color w:val="000000" w:themeColor="text1"/>
          <w:sz w:val="32"/>
          <w:szCs w:val="32"/>
          <w:lang w:val="en-US" w:eastAsia="zh-CN"/>
          <w14:textFill>
            <w14:solidFill>
              <w14:schemeClr w14:val="tx1"/>
            </w14:solidFill>
          </w14:textFill>
        </w:rPr>
        <w:t>项目实际完成22.87万元。</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eastAsia="仿宋_GB2312" w:cs="仿宋_GB2312"/>
          <w:szCs w:val="32"/>
        </w:rPr>
      </w:pPr>
      <w:r>
        <w:rPr>
          <w:rFonts w:hint="eastAsia" w:ascii="楷体_GB2312" w:hAnsi="楷体_GB2312" w:eastAsia="楷体_GB2312" w:cs="楷体_GB2312"/>
          <w:color w:val="000000" w:themeColor="text1"/>
          <w:szCs w:val="32"/>
          <w:lang w:val="en-US" w:eastAsia="zh-CN"/>
          <w14:textFill>
            <w14:solidFill>
              <w14:schemeClr w14:val="tx1"/>
            </w14:solidFill>
          </w14:textFill>
        </w:rPr>
        <w:t>（二）语言文字工作专项资金3万元</w:t>
      </w:r>
      <w:r>
        <w:rPr>
          <w:rFonts w:hint="eastAsia" w:ascii="仿宋_GB2312" w:hAnsi="仿宋_GB2312" w:cs="仿宋_GB2312"/>
          <w:color w:val="000000" w:themeColor="text1"/>
          <w:szCs w:val="32"/>
          <w:lang w:val="en-US" w:eastAsia="zh-CN"/>
          <w14:textFill>
            <w14:solidFill>
              <w14:schemeClr w14:val="tx1"/>
            </w14:solidFill>
          </w14:textFill>
        </w:rPr>
        <w:t>。主要用于相关人员外出</w:t>
      </w:r>
      <w:r>
        <w:rPr>
          <w:rFonts w:hint="eastAsia" w:ascii="仿宋_GB2312" w:hAnsi="仿宋_GB2312" w:cs="仿宋_GB2312"/>
          <w:color w:val="000000" w:themeColor="text1"/>
          <w:sz w:val="32"/>
          <w:szCs w:val="32"/>
          <w:lang w:val="en-US" w:eastAsia="zh-CN"/>
          <w14:textFill>
            <w14:solidFill>
              <w14:schemeClr w14:val="tx1"/>
            </w14:solidFill>
          </w14:textFill>
        </w:rPr>
        <w:t>参加语委基层干部培训费，以及到寻甸县参加推普周仪式交通费；支付呈贡区育才行知幼儿园等21所校园语言文字达标校区级评估专家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评审费</w:t>
      </w:r>
      <w:r>
        <w:rPr>
          <w:rFonts w:hint="eastAsia" w:ascii="仿宋_GB2312" w:hAnsi="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；拨付</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云南民族大学附属中学</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昆明市呈贡区文笔小学</w:t>
      </w:r>
      <w:r>
        <w:rPr>
          <w:rFonts w:hint="eastAsia" w:ascii="仿宋_GB2312" w:hAnsi="仿宋_GB2312" w:cs="仿宋_GB2312"/>
          <w:color w:val="000000" w:themeColor="text1"/>
          <w:sz w:val="32"/>
          <w:szCs w:val="32"/>
          <w:lang w:val="en-US" w:eastAsia="zh-CN"/>
          <w14:textFill>
            <w14:solidFill>
              <w14:schemeClr w14:val="tx1"/>
            </w14:solidFill>
          </w14:textFill>
        </w:rPr>
        <w:t>等学校幼儿园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，用于创建昆明市语言文字规范化达标学校工作</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已按语委办年初计划按要求完成阶段性目标。</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rPr>
          <w:rFonts w:hint="eastAsia" w:ascii="仿宋_GB2312" w:hAnsi="仿宋_GB2312" w:eastAsia="仿宋_GB2312" w:cs="仿宋_GB2312"/>
          <w:szCs w:val="32"/>
          <w:lang w:val="en-US" w:eastAsia="zh-CN"/>
        </w:rPr>
      </w:pPr>
      <w:r>
        <w:rPr>
          <w:rFonts w:hint="default" w:ascii="仿宋_GB2312" w:hAnsi="仿宋_GB2312" w:eastAsia="仿宋_GB2312" w:cs="仿宋_GB2312"/>
          <w:szCs w:val="32"/>
          <w:lang w:val="en-US" w:eastAsia="zh-CN"/>
        </w:rPr>
        <w:t>1.</w:t>
      </w:r>
      <w:r>
        <w:rPr>
          <w:rFonts w:hint="eastAsia" w:ascii="仿宋_GB2312" w:hAnsi="仿宋_GB2312" w:eastAsia="仿宋_GB2312" w:cs="仿宋_GB2312"/>
          <w:szCs w:val="32"/>
          <w:lang w:val="en-US" w:eastAsia="zh-CN"/>
        </w:rPr>
        <w:t>项目经济性分析</w:t>
      </w:r>
    </w:p>
    <w:p>
      <w:p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w:t>
      </w:r>
      <w:r>
        <w:rPr>
          <w:rFonts w:hint="default" w:ascii="仿宋_GB2312" w:hAnsi="仿宋_GB2312" w:eastAsia="仿宋_GB2312" w:cs="仿宋_GB2312"/>
          <w:szCs w:val="32"/>
          <w:lang w:val="en-US" w:eastAsia="zh-CN"/>
        </w:rPr>
        <w:t>1</w:t>
      </w:r>
      <w:r>
        <w:rPr>
          <w:rFonts w:hint="eastAsia" w:ascii="仿宋_GB2312" w:hAnsi="仿宋_GB2312" w:eastAsia="仿宋_GB2312" w:cs="仿宋_GB2312"/>
          <w:szCs w:val="32"/>
          <w:lang w:val="en-US" w:eastAsia="zh-CN"/>
        </w:rPr>
        <w:t>）项目成本（预算）控制情况</w:t>
      </w:r>
    </w:p>
    <w:p>
      <w:p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项目成本严格控制在预算范围内。</w:t>
      </w:r>
    </w:p>
    <w:p>
      <w:p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w:t>
      </w:r>
      <w:r>
        <w:rPr>
          <w:rFonts w:hint="default" w:ascii="仿宋_GB2312" w:hAnsi="仿宋_GB2312" w:eastAsia="仿宋_GB2312" w:cs="仿宋_GB2312"/>
          <w:szCs w:val="32"/>
          <w:lang w:val="en-US" w:eastAsia="zh-CN"/>
        </w:rPr>
        <w:t>2</w:t>
      </w:r>
      <w:r>
        <w:rPr>
          <w:rFonts w:hint="eastAsia" w:ascii="仿宋_GB2312" w:hAnsi="仿宋_GB2312" w:eastAsia="仿宋_GB2312" w:cs="仿宋_GB2312"/>
          <w:szCs w:val="32"/>
          <w:lang w:val="en-US" w:eastAsia="zh-CN"/>
        </w:rPr>
        <w:t>）项目成本（预算）节约情</w:t>
      </w:r>
    </w:p>
    <w:p>
      <w:p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对提交晋级升等申报材料的幼儿园进行严格审核，针对其实际办园情况给出有效建设和指导，评估前无法按照评估指标体系完成相关材料准备的延缓评估时间，保障了幼儿园在聘请专家进行初勘和区级评估前准备到位，节约评估成本。语言文字达标补助仅针对成功创建的校园进行补助，严格将资金控制在预算范围内。</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项目的效率性分析</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）项目的实施进度</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default"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语言文字工作经费实施进度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符合绩效目标要求</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督导室日常工作经费项目实施进展略低于绩效目标要求。</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）项目完成质量</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cs="仿宋_GB2312"/>
          <w:color w:val="000000" w:themeColor="text1"/>
          <w:sz w:val="32"/>
          <w:szCs w:val="32"/>
          <w:lang w:val="en-US" w:eastAsia="zh-CN"/>
          <w14:textFill>
            <w14:solidFill>
              <w14:schemeClr w14:val="tx1"/>
            </w14:solidFill>
          </w14:textFill>
        </w:rPr>
        <w:t>已完成部分，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质量符合国家及省、市验收标准。</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项目的效益性分析</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）项目预期目标完成程度</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2021年督导工作专项资金项目计划资金25万元,截止2021年12月30日，实际支出22.87元，完成率91.5%。</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default" w:ascii="仿宋_GB2312" w:hAnsi="仿宋_GB2312" w:cs="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语言文字工作专项资金</w:t>
      </w:r>
      <w:r>
        <w:rPr>
          <w:rFonts w:hint="eastAsia" w:ascii="仿宋_GB2312" w:hAnsi="仿宋_GB2312" w:cs="仿宋_GB2312"/>
          <w:color w:val="000000" w:themeColor="text1"/>
          <w:szCs w:val="32"/>
          <w:lang w:val="en-US" w:eastAsia="zh-CN"/>
          <w14:textFill>
            <w14:solidFill>
              <w14:schemeClr w14:val="tx1"/>
            </w14:solidFill>
          </w14:textFill>
        </w:rPr>
        <w:t>项目计划资金3万元，截止2021年12月30日，实际支出3万元，完成率100%。</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）项目实施对经济和社会的影响</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项目的实施规范了学校办学行为，扩大学校知名度，吸引更多优质生源入学,增进学校活力，树立学校办学品牌，为学校带来一定经济效益，社会认可度提升。</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widowControl w:val="0"/>
        <w:wordWrap/>
        <w:adjustRightInd/>
        <w:snapToGrid/>
        <w:ind w:firstLine="594"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（一）存在问题</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督导室计划于2021年底至2022年初完成云南省对呈贡区人民政府履行教育工作职责督导评估迎检材料准备工作，并将所需费用纳入</w:t>
      </w:r>
      <w:r>
        <w:rPr>
          <w:rFonts w:hint="eastAsia" w:ascii="仿宋_GB2312" w:hAnsi="仿宋_GB2312" w:cs="仿宋_GB2312"/>
          <w:color w:val="000000" w:themeColor="text1"/>
          <w:szCs w:val="32"/>
          <w:lang w:val="en-US" w:eastAsia="zh-CN"/>
          <w14:textFill>
            <w14:solidFill>
              <w14:schemeClr w14:val="tx1"/>
            </w14:solidFill>
          </w14:textFill>
        </w:rPr>
        <w:t>2021年督导工作专项资金</w:t>
      </w:r>
      <w:r>
        <w:rPr>
          <w:rFonts w:hint="eastAsia" w:ascii="仿宋_GB2312" w:hAnsi="仿宋_GB2312" w:cs="仿宋_GB2312"/>
          <w:color w:val="000000" w:themeColor="text1"/>
          <w:sz w:val="32"/>
          <w:szCs w:val="32"/>
          <w:lang w:val="en-US" w:eastAsia="zh-CN"/>
          <w14:textFill>
            <w14:solidFill>
              <w14:schemeClr w14:val="tx1"/>
            </w14:solidFill>
          </w14:textFill>
        </w:rPr>
        <w:t>预算，但由于财务管理规定，材料印制费用不允许预支，迎检材料印制后费用于2022年初才能支出，导致</w:t>
      </w:r>
      <w:r>
        <w:rPr>
          <w:rFonts w:hint="eastAsia" w:ascii="仿宋_GB2312" w:hAnsi="仿宋_GB2312" w:cs="仿宋_GB2312"/>
          <w:color w:val="000000" w:themeColor="text1"/>
          <w:szCs w:val="32"/>
          <w:lang w:val="en-US" w:eastAsia="zh-CN"/>
          <w14:textFill>
            <w14:solidFill>
              <w14:schemeClr w14:val="tx1"/>
            </w14:solidFill>
          </w14:textFill>
        </w:rPr>
        <w:t>2021年督导工作专项资金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实际支出22</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cs="仿宋_GB2312"/>
          <w:color w:val="000000" w:themeColor="text1"/>
          <w:sz w:val="32"/>
          <w:szCs w:val="32"/>
          <w:lang w:val="en-US" w:eastAsia="zh-CN"/>
          <w14:textFill>
            <w14:solidFill>
              <w14:schemeClr w14:val="tx1"/>
            </w14:solidFill>
          </w14:textFill>
        </w:rPr>
        <w:t>7万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w:t>
      </w:r>
      <w:r>
        <w:rPr>
          <w:rFonts w:hint="eastAsia" w:ascii="仿宋_GB2312" w:hAnsi="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完成率仅为91.5%，</w:t>
      </w:r>
      <w:r>
        <w:rPr>
          <w:rFonts w:hint="eastAsia" w:ascii="仿宋_GB2312" w:hAnsi="仿宋_GB2312" w:cs="仿宋_GB2312"/>
          <w:color w:val="000000" w:themeColor="text1"/>
          <w:sz w:val="32"/>
          <w:szCs w:val="32"/>
          <w:lang w:val="en-US" w:eastAsia="zh-CN"/>
          <w14:textFill>
            <w14:solidFill>
              <w14:schemeClr w14:val="tx1"/>
            </w14:solidFill>
          </w14:textFill>
        </w:rPr>
        <w:t>未达到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cs="仿宋_GB2312"/>
          <w:color w:val="000000" w:themeColor="text1"/>
          <w:sz w:val="32"/>
          <w:szCs w:val="32"/>
          <w:lang w:val="en-US" w:eastAsia="zh-CN"/>
          <w14:textFill>
            <w14:solidFill>
              <w14:schemeClr w14:val="tx1"/>
            </w14:solidFill>
          </w14:textFill>
        </w:rPr>
        <w:t>完成率100%的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预期目标</w:t>
      </w:r>
      <w:r>
        <w:rPr>
          <w:rFonts w:hint="eastAsia" w:ascii="仿宋_GB2312" w:hAnsi="仿宋_GB2312" w:cs="仿宋_GB2312"/>
          <w:color w:val="000000" w:themeColor="text1"/>
          <w:sz w:val="32"/>
          <w:szCs w:val="32"/>
          <w:lang w:val="en-US" w:eastAsia="zh-CN"/>
          <w14:textFill>
            <w14:solidFill>
              <w14:schemeClr w14:val="tx1"/>
            </w14:solidFill>
          </w14:textFill>
        </w:rPr>
        <w:t>。</w:t>
      </w:r>
    </w:p>
    <w:p>
      <w:pPr>
        <w:widowControl w:val="0"/>
        <w:numPr>
          <w:ilvl w:val="0"/>
          <w:numId w:val="1"/>
        </w:numPr>
        <w:wordWrap/>
        <w:adjustRightInd/>
        <w:snapToGrid/>
        <w:ind w:firstLine="594"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原因分析</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计划制定时，</w:t>
      </w:r>
      <w:r>
        <w:rPr>
          <w:rFonts w:hint="eastAsia" w:ascii="仿宋_GB2312" w:hAnsi="仿宋_GB2312" w:cs="仿宋_GB2312"/>
          <w:color w:val="000000" w:themeColor="text1"/>
          <w:sz w:val="32"/>
          <w:szCs w:val="32"/>
          <w:lang w:val="en-US" w:eastAsia="zh-CN"/>
          <w14:textFill>
            <w14:solidFill>
              <w14:schemeClr w14:val="tx1"/>
            </w14:solidFill>
          </w14:textFill>
        </w:rPr>
        <w:t>对相关政策变化掌握不完善，需加强相关政策学习。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jc w:val="both"/>
        <w:textAlignment w:val="auto"/>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无</w:t>
      </w: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E4FF"/>
    <w:multiLevelType w:val="singleLevel"/>
    <w:tmpl w:val="8EC8E4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28D7F78"/>
    <w:rsid w:val="05AE36CA"/>
    <w:rsid w:val="06A130D4"/>
    <w:rsid w:val="378A5996"/>
    <w:rsid w:val="3D3104B7"/>
    <w:rsid w:val="3E9E0F1C"/>
    <w:rsid w:val="59AE258A"/>
    <w:rsid w:val="5A3C6978"/>
    <w:rsid w:val="67600811"/>
    <w:rsid w:val="777C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2237</Words>
  <Characters>2448</Characters>
  <Lines>0</Lines>
  <Paragraphs>0</Paragraphs>
  <TotalTime>20</TotalTime>
  <ScaleCrop>false</ScaleCrop>
  <LinksUpToDate>false</LinksUpToDate>
  <CharactersWithSpaces>2449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2022-09-29T02:55:31Z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346BE1D95C9B439B9C5858178833B3AB</vt:lpwstr>
  </property>
</Properties>
</file>