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呈贡区中小学（幼儿园）基础建设专项资金</w:t>
      </w:r>
    </w:p>
    <w:p>
      <w:pPr>
        <w:spacing w:line="600" w:lineRule="exact"/>
        <w:jc w:val="center"/>
        <w:rPr>
          <w:rFonts w:ascii="方正小标宋_GBK" w:eastAsia="方正小标宋_GBK"/>
          <w:sz w:val="36"/>
          <w:szCs w:val="36"/>
        </w:rPr>
      </w:pPr>
      <w:r>
        <w:rPr>
          <w:rFonts w:hint="eastAsia" w:ascii="方正小标宋_GBK" w:eastAsia="方正小标宋_GBK"/>
          <w:sz w:val="44"/>
          <w:szCs w:val="44"/>
        </w:rPr>
        <w:t>项目支出绩效报告（自评）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楷体_GB2312" w:hAnsi="楷体_GB2312" w:eastAsia="楷体_GB2312" w:cs="楷体_GB2312"/>
          <w:szCs w:val="32"/>
        </w:rPr>
        <w:t>（一）项目基本情况简介</w:t>
      </w:r>
    </w:p>
    <w:p>
      <w:pPr>
        <w:topLinePunct/>
        <w:ind w:firstLine="594" w:firstLineChars="200"/>
        <w:rPr>
          <w:rFonts w:hint="eastAsia" w:ascii="仿宋_GB2312"/>
          <w:szCs w:val="32"/>
        </w:rPr>
      </w:pPr>
      <w:r>
        <w:rPr>
          <w:rFonts w:hint="eastAsia" w:ascii="仿宋_GB2312"/>
          <w:szCs w:val="32"/>
        </w:rPr>
        <w:t>2021年度呈贡区中小学（幼儿园）基础建设资金,主要用于呈贡区学校、幼儿园项目建设、地块控制性详细规划调整等。根据各项目代建单位的资金申请及区教体局办公会会议决定，结合项目实际推进情况，项目大部分建设资金具体分配到了昆明呈贡新区教育发展投资有限公司、昆明市呈贡区城市投资集团有限公司、昆明春都城市建设投资有限公司、昆明市测绘研究院等。</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（二）绩效目标设定及指标完成情况</w:t>
      </w:r>
    </w:p>
    <w:p>
      <w:pPr>
        <w:topLinePunct/>
        <w:ind w:firstLine="594" w:firstLineChars="200"/>
        <w:rPr>
          <w:rFonts w:hint="eastAsia" w:ascii="仿宋_GB2312"/>
          <w:szCs w:val="32"/>
        </w:rPr>
      </w:pPr>
      <w:r>
        <w:rPr>
          <w:rFonts w:hint="eastAsia" w:ascii="仿宋_GB2312"/>
          <w:szCs w:val="32"/>
        </w:rPr>
        <w:t>1.绩效目标设定情况</w:t>
      </w:r>
    </w:p>
    <w:p>
      <w:pPr>
        <w:topLinePunct/>
        <w:ind w:firstLine="594" w:firstLineChars="200"/>
        <w:rPr>
          <w:rFonts w:hint="eastAsia" w:ascii="仿宋_GB2312"/>
          <w:szCs w:val="32"/>
        </w:rPr>
      </w:pPr>
      <w:r>
        <w:rPr>
          <w:rFonts w:hint="eastAsia" w:ascii="仿宋_GB2312"/>
          <w:szCs w:val="32"/>
        </w:rPr>
        <w:t>呈贡区财政局年初安排中小学（幼儿园）基础建设资金</w:t>
      </w:r>
      <w:r>
        <w:rPr>
          <w:rFonts w:ascii="仿宋_GB2312"/>
          <w:szCs w:val="32"/>
        </w:rPr>
        <w:t>21993</w:t>
      </w:r>
      <w:r>
        <w:rPr>
          <w:rFonts w:hint="eastAsia" w:ascii="仿宋_GB2312"/>
          <w:szCs w:val="32"/>
        </w:rPr>
        <w:t>万元，年底调增资金</w:t>
      </w:r>
      <w:r>
        <w:rPr>
          <w:rFonts w:ascii="仿宋_GB2312"/>
          <w:szCs w:val="32"/>
        </w:rPr>
        <w:t>600</w:t>
      </w:r>
      <w:r>
        <w:rPr>
          <w:rFonts w:hint="eastAsia" w:ascii="仿宋_GB2312"/>
          <w:szCs w:val="32"/>
        </w:rPr>
        <w:t>万元，202</w:t>
      </w:r>
      <w:r>
        <w:rPr>
          <w:rFonts w:ascii="仿宋_GB2312"/>
          <w:szCs w:val="32"/>
        </w:rPr>
        <w:t>1</w:t>
      </w:r>
      <w:r>
        <w:rPr>
          <w:rFonts w:hint="eastAsia" w:ascii="仿宋_GB2312"/>
          <w:szCs w:val="32"/>
        </w:rPr>
        <w:t>年中小学（幼儿园）基础建设资金全部到位了</w:t>
      </w:r>
      <w:r>
        <w:rPr>
          <w:rFonts w:ascii="仿宋_GB2312"/>
          <w:szCs w:val="32"/>
        </w:rPr>
        <w:t>22593</w:t>
      </w:r>
      <w:r>
        <w:rPr>
          <w:rFonts w:hint="eastAsia" w:ascii="仿宋_GB2312"/>
          <w:szCs w:val="32"/>
        </w:rPr>
        <w:t>万元。</w:t>
      </w:r>
    </w:p>
    <w:p>
      <w:pPr>
        <w:topLinePunct/>
        <w:ind w:firstLine="594" w:firstLineChars="200"/>
        <w:rPr>
          <w:rFonts w:hint="eastAsia" w:ascii="仿宋_GB2312"/>
          <w:szCs w:val="32"/>
        </w:rPr>
      </w:pPr>
      <w:r>
        <w:rPr>
          <w:rFonts w:hint="eastAsia" w:ascii="仿宋_GB2312"/>
          <w:szCs w:val="32"/>
        </w:rPr>
        <w:t>2.指标完成情况</w:t>
      </w:r>
    </w:p>
    <w:p>
      <w:pPr>
        <w:topLinePunct/>
        <w:ind w:firstLine="594" w:firstLineChars="200"/>
        <w:rPr>
          <w:rFonts w:hint="eastAsia" w:ascii="仿宋_GB2312"/>
          <w:szCs w:val="32"/>
        </w:rPr>
      </w:pPr>
      <w:r>
        <w:rPr>
          <w:rFonts w:hint="eastAsia" w:ascii="仿宋_GB2312"/>
          <w:szCs w:val="32"/>
        </w:rPr>
        <w:t>根据资金到位情况，结合202</w:t>
      </w:r>
      <w:r>
        <w:rPr>
          <w:rFonts w:ascii="仿宋_GB2312"/>
          <w:szCs w:val="32"/>
        </w:rPr>
        <w:t>1</w:t>
      </w:r>
      <w:r>
        <w:rPr>
          <w:rFonts w:hint="eastAsia" w:ascii="仿宋_GB2312"/>
          <w:szCs w:val="32"/>
        </w:rPr>
        <w:t>年学校项目建设实施进度，付至呈贡区沐春园幼儿园建设项目、呈贡区时代俊园小学建设项目、云大附中呈贡校区二期建设项目、昆明市外国语学校呈贡校区建设项目、滇池明珠广场小学建设项目、云南民族大学附属学校（呈贡校区）建设项目、呈贡区洛龙中心幼儿园建设项目、呈贡区“CG-WJY-T2-01-01” “CG-WJY-R2-01-01”地块学校建设项目红线图购买及控制性详细规划调整的规划设计费、2021年呈贡区城乡义务教育校舍维修改造长效机制资金项目等实现全年项目支出共计23359.63万元。</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项目执行过程中，严格按照201</w:t>
      </w:r>
      <w:r>
        <w:rPr>
          <w:rFonts w:hint="eastAsia" w:ascii="仿宋_GB2312" w:hAnsi="仿宋_GB2312" w:cs="仿宋_GB2312"/>
          <w:szCs w:val="32"/>
          <w:lang w:val="en-US" w:eastAsia="zh-CN"/>
        </w:rPr>
        <w:t>9</w:t>
      </w:r>
      <w:r>
        <w:rPr>
          <w:rFonts w:hint="eastAsia" w:ascii="仿宋_GB2312" w:hAnsi="仿宋_GB2312" w:cs="仿宋_GB2312"/>
          <w:szCs w:val="32"/>
        </w:rPr>
        <w:t>年修订的《昆明市呈贡区教育</w:t>
      </w:r>
      <w:r>
        <w:rPr>
          <w:rFonts w:hint="eastAsia" w:ascii="仿宋_GB2312" w:hAnsi="仿宋_GB2312" w:cs="仿宋_GB2312"/>
          <w:szCs w:val="32"/>
          <w:lang w:eastAsia="zh-CN"/>
        </w:rPr>
        <w:t>体育</w:t>
      </w:r>
      <w:r>
        <w:rPr>
          <w:rFonts w:hint="eastAsia" w:ascii="仿宋_GB2312" w:hAnsi="仿宋_GB2312" w:cs="仿宋_GB2312"/>
          <w:szCs w:val="32"/>
        </w:rPr>
        <w:t>局财务管理规定》对项目经费实行专款专用，强化资金使用的监督，包括经费预算和计划的审核审批，预算执行情况和程序的监督，确保了资金的使用效率和项目的顺利实施。</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（一）项目组织情况分析</w:t>
      </w:r>
    </w:p>
    <w:p>
      <w:pPr>
        <w:topLinePunct/>
        <w:ind w:firstLine="594" w:firstLineChars="200"/>
        <w:rPr>
          <w:rFonts w:ascii="仿宋_GB2312" w:hAnsi="仿宋_GB2312" w:cs="仿宋_GB2312"/>
          <w:szCs w:val="32"/>
        </w:rPr>
      </w:pPr>
      <w:r>
        <w:rPr>
          <w:rFonts w:hint="eastAsia" w:ascii="仿宋_GB2312" w:hAnsi="仿宋_GB2312" w:cs="仿宋_GB2312"/>
          <w:szCs w:val="32"/>
        </w:rPr>
        <w:t>对于基础设施建设项目能够严格执行勘察、设计、项目法人责任制，招投标制、合同制、工程监理制、工程质量监督制等基本建设程序，本着科学合理、符合中小学发展的理念进行设计，在施工过程中，严防工程质量问题及安全事故发生，严格按建筑规范要求进行规划建设及施工，确保工程按质按量实施，并聘请了造价单位对项目施工过程进行了跟踪审计，项目结束后由区审计局安排中介机构对竣工决算进行最终审计，确保投资的真实合理。</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（二）项目管理情况分析</w:t>
      </w:r>
    </w:p>
    <w:p>
      <w:pPr>
        <w:topLinePunct/>
        <w:ind w:firstLine="594" w:firstLineChars="200"/>
        <w:rPr>
          <w:rFonts w:hint="eastAsia" w:ascii="仿宋_GB2312"/>
          <w:szCs w:val="32"/>
        </w:rPr>
      </w:pPr>
      <w:r>
        <w:rPr>
          <w:rFonts w:hint="eastAsia" w:ascii="仿宋_GB2312"/>
          <w:szCs w:val="32"/>
        </w:rPr>
        <w:t>呈贡区中小学（幼儿园）建设项目经区政府批准同意委托平台公司代建，负责项目前期阶段、施工阶段、竣工阶段所有工程相关事项，直至工程竣工验收交付使用。其中，新区二小排危重建校安工程建设项目、新区四小排危重建校安工程建设项目、呈贡区第一中学改扩建建设项目、昆明市外国语学校呈贡校区建设项目委托昆明呈贡新区教育发展投资有限公司代建；呈贡区时代俊园小学建设项目委托昆明市呈贡区城市投资集团有限公司代建；云大附中呈贡校区二期建设项目委托昆明春都城市建设投资有限公司代建。</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（一）项目经济性分析</w:t>
      </w:r>
    </w:p>
    <w:p>
      <w:pPr>
        <w:topLinePunct/>
        <w:ind w:firstLine="594" w:firstLineChars="200"/>
        <w:rPr>
          <w:rFonts w:hint="eastAsia" w:ascii="仿宋_GB2312"/>
          <w:szCs w:val="32"/>
        </w:rPr>
      </w:pPr>
      <w:r>
        <w:rPr>
          <w:rFonts w:hint="eastAsia" w:ascii="仿宋_GB2312"/>
          <w:szCs w:val="32"/>
          <w:lang w:val="en-US" w:eastAsia="zh-CN"/>
        </w:rPr>
        <w:t>1.</w:t>
      </w:r>
      <w:r>
        <w:rPr>
          <w:rFonts w:hint="eastAsia" w:ascii="仿宋_GB2312"/>
          <w:szCs w:val="32"/>
        </w:rPr>
        <w:t>项目成本（预算）控制情况</w:t>
      </w:r>
    </w:p>
    <w:p>
      <w:pPr>
        <w:topLinePunct/>
        <w:ind w:firstLine="594" w:firstLineChars="200"/>
        <w:rPr>
          <w:rFonts w:hint="eastAsia" w:ascii="仿宋_GB2312"/>
          <w:szCs w:val="32"/>
        </w:rPr>
      </w:pPr>
      <w:r>
        <w:rPr>
          <w:rFonts w:hint="eastAsia" w:ascii="仿宋_GB2312"/>
          <w:szCs w:val="32"/>
        </w:rPr>
        <w:t>项目成本控制在预算范围内。</w:t>
      </w:r>
    </w:p>
    <w:p>
      <w:pPr>
        <w:topLinePunct/>
        <w:ind w:firstLine="594" w:firstLineChars="200"/>
        <w:rPr>
          <w:rFonts w:hint="eastAsia" w:ascii="仿宋_GB2312"/>
          <w:szCs w:val="32"/>
        </w:rPr>
      </w:pPr>
      <w:r>
        <w:rPr>
          <w:rFonts w:hint="eastAsia" w:ascii="仿宋_GB2312"/>
          <w:szCs w:val="32"/>
          <w:lang w:val="en-US" w:eastAsia="zh-CN"/>
        </w:rPr>
        <w:t>2.</w:t>
      </w:r>
      <w:r>
        <w:rPr>
          <w:rFonts w:hint="eastAsia" w:ascii="仿宋_GB2312"/>
          <w:szCs w:val="32"/>
        </w:rPr>
        <w:t>项目成本（预算）节约情况</w:t>
      </w:r>
    </w:p>
    <w:p>
      <w:pPr>
        <w:topLinePunct/>
        <w:ind w:firstLine="594" w:firstLineChars="200"/>
        <w:rPr>
          <w:rFonts w:ascii="仿宋_GB2312"/>
          <w:szCs w:val="32"/>
        </w:rPr>
      </w:pPr>
      <w:r>
        <w:rPr>
          <w:rFonts w:hint="eastAsia" w:ascii="仿宋_GB2312"/>
          <w:szCs w:val="32"/>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（二）项目的效率性分析</w:t>
      </w:r>
    </w:p>
    <w:p>
      <w:pPr>
        <w:topLinePunct/>
        <w:ind w:firstLine="594" w:firstLineChars="200"/>
        <w:rPr>
          <w:rFonts w:hint="eastAsia" w:ascii="仿宋_GB2312"/>
          <w:szCs w:val="32"/>
        </w:rPr>
      </w:pPr>
      <w:r>
        <w:rPr>
          <w:rFonts w:hint="eastAsia" w:ascii="仿宋_GB2312"/>
          <w:szCs w:val="32"/>
        </w:rPr>
        <w:t>项目实施进度符合绩效目标要求，项目质量均符合国家及地方验收标准。</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（三）项目的有效性分析</w:t>
      </w:r>
    </w:p>
    <w:p>
      <w:pPr>
        <w:topLinePunct/>
        <w:ind w:firstLine="594" w:firstLineChars="200"/>
        <w:rPr>
          <w:rFonts w:hint="eastAsia" w:ascii="仿宋_GB2312"/>
          <w:szCs w:val="32"/>
        </w:rPr>
      </w:pPr>
      <w:r>
        <w:rPr>
          <w:rFonts w:hint="eastAsia" w:ascii="仿宋_GB2312"/>
          <w:szCs w:val="32"/>
        </w:rPr>
        <w:t>就项目绩效总目标而言，支出进度完全符合预期目标要求。呈贡区中小学（幼儿园）建设项目的实施促进了呈贡基础教育的发展，进一步缓解了片区适龄子女的入学需求，同步改善了在校师生的学习生活环境。</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（三）资金拨付方面的问题。拨付及时，无滞留、闲置等现象</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（四）资金使用方面的问题</w:t>
      </w:r>
    </w:p>
    <w:p>
      <w:pPr>
        <w:topLinePunct/>
        <w:ind w:firstLine="594" w:firstLineChars="200"/>
        <w:rPr>
          <w:rFonts w:ascii="仿宋_GB2312"/>
          <w:szCs w:val="32"/>
        </w:rPr>
      </w:pPr>
      <w:r>
        <w:rPr>
          <w:rFonts w:hint="eastAsia" w:ascii="楷体_GB2312" w:hAnsi="楷体_GB2312" w:eastAsia="楷体_GB2312" w:cs="楷体_GB2312"/>
          <w:szCs w:val="32"/>
          <w:lang w:eastAsia="zh-CN"/>
        </w:rPr>
        <w:t>无</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szCs w:val="32"/>
        </w:rPr>
      </w:pPr>
      <w:r>
        <w:rPr>
          <w:rFonts w:hint="eastAsia" w:ascii="仿宋_GB2312"/>
          <w:szCs w:val="32"/>
        </w:rPr>
        <w:t>下一步我局将继续加强项目资金使用与管理，认真谋划好项目，完善项目行政报批相关工作，力争每</w:t>
      </w:r>
      <w:bookmarkStart w:id="0" w:name="_GoBack"/>
      <w:bookmarkEnd w:id="0"/>
      <w:r>
        <w:rPr>
          <w:rFonts w:hint="eastAsia" w:ascii="仿宋_GB2312"/>
          <w:szCs w:val="32"/>
        </w:rPr>
        <w:t>个交付使用的项目都完成终验。</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ind w:firstLine="594" w:firstLineChars="200"/>
      </w:pPr>
      <w:r>
        <w:rPr>
          <w:rFonts w:hint="eastAsia"/>
        </w:rPr>
        <w:t>无</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D26950"/>
    <w:rsid w:val="00040BC8"/>
    <w:rsid w:val="002D762D"/>
    <w:rsid w:val="004258F7"/>
    <w:rsid w:val="007E366E"/>
    <w:rsid w:val="008F59C2"/>
    <w:rsid w:val="009038C0"/>
    <w:rsid w:val="00D26950"/>
    <w:rsid w:val="05AE36CA"/>
    <w:rsid w:val="378A5996"/>
    <w:rsid w:val="54A05799"/>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1589</Words>
  <Characters>1654</Characters>
  <Lines>12</Lines>
  <Paragraphs>3</Paragraphs>
  <TotalTime>1</TotalTime>
  <ScaleCrop>false</ScaleCrop>
  <LinksUpToDate>false</LinksUpToDate>
  <CharactersWithSpaces>1655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2022-09-27T05:48:13Z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7C9B4AD945974BA9A7772ED25CE45106</vt:lpwstr>
  </property>
</Properties>
</file>