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呈贡区时代俊园小学建设项目第二批市级</w:t>
      </w: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资金项目支出绩效报告（自评）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（一）项目基本情况简介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呈贡区时代俊园小学建设项目用地面积约29.17亩，总建筑面积为17056.28 平方米，项目投资估算为17022.67万元（土地款3035.2666万元，全部由区级承担），建设资金（约13987.4万元）由市、区两级分别按照7：3承担（即市级约9791万元，区级约4196万元）。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（二）绩效目标设定及指标完成情况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1.绩效目标设定情况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本次安排项目市级专项资金共</w:t>
      </w:r>
      <w:r>
        <w:rPr>
          <w:rFonts w:ascii="仿宋_GB2312"/>
          <w:szCs w:val="32"/>
        </w:rPr>
        <w:t>465</w:t>
      </w:r>
      <w:r>
        <w:rPr>
          <w:rFonts w:hint="eastAsia" w:ascii="仿宋_GB2312"/>
          <w:szCs w:val="32"/>
        </w:rPr>
        <w:t>万元。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2.指标完成情况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截至202</w:t>
      </w: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年12月底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ascii="仿宋_GB2312"/>
          <w:szCs w:val="32"/>
        </w:rPr>
        <w:t>465</w:t>
      </w:r>
      <w:r>
        <w:rPr>
          <w:rFonts w:hint="eastAsia" w:ascii="仿宋_GB2312"/>
          <w:szCs w:val="32"/>
        </w:rPr>
        <w:t>万元全部拨付至项目代建单位（即：昆明市呈贡区城市投资集团有限公司），用于支付学校项目建设进度款。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二、项目资金使用及管理情况</w:t>
      </w:r>
    </w:p>
    <w:p>
      <w:pPr>
        <w:topLinePunct/>
        <w:ind w:firstLine="594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呈贡区时代俊园小学建设项目总投资约1.7亿元，项目土地款已缴纳。截至202</w:t>
      </w:r>
      <w:r>
        <w:rPr>
          <w:rFonts w:ascii="仿宋_GB2312" w:hAnsi="仿宋_GB2312" w:cs="仿宋_GB2312"/>
          <w:szCs w:val="32"/>
        </w:rPr>
        <w:t>1</w:t>
      </w:r>
      <w:r>
        <w:rPr>
          <w:rFonts w:hint="eastAsia" w:ascii="仿宋_GB2312" w:hAnsi="仿宋_GB2312" w:cs="仿宋_GB2312"/>
          <w:szCs w:val="32"/>
        </w:rPr>
        <w:t>年12月底，所有款全部拨付至项目代建单位（即：昆明市呈贡区城市投资集团有限公司），其中3035.2666万元用于缴纳学校项目土地款，其他款项全部用于学校项目建设。</w:t>
      </w:r>
    </w:p>
    <w:p>
      <w:pPr>
        <w:topLinePunct/>
        <w:ind w:firstLine="594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项目执行过程中，严格按照201</w:t>
      </w:r>
      <w:r>
        <w:rPr>
          <w:rFonts w:hint="eastAsia" w:ascii="仿宋_GB2312" w:hAnsi="仿宋_GB2312" w:cs="仿宋_GB2312"/>
          <w:szCs w:val="32"/>
          <w:lang w:val="en-US" w:eastAsia="zh-CN"/>
        </w:rPr>
        <w:t>9</w:t>
      </w:r>
      <w:r>
        <w:rPr>
          <w:rFonts w:hint="eastAsia" w:ascii="仿宋_GB2312" w:hAnsi="仿宋_GB2312" w:cs="仿宋_GB2312"/>
          <w:szCs w:val="32"/>
        </w:rPr>
        <w:t>年修订的《昆明市呈贡区教育</w:t>
      </w:r>
      <w:r>
        <w:rPr>
          <w:rFonts w:hint="eastAsia" w:ascii="仿宋_GB2312" w:hAnsi="仿宋_GB2312" w:cs="仿宋_GB2312"/>
          <w:szCs w:val="32"/>
          <w:lang w:eastAsia="zh-CN"/>
        </w:rPr>
        <w:t>体育</w:t>
      </w:r>
      <w:r>
        <w:rPr>
          <w:rFonts w:hint="eastAsia" w:ascii="仿宋_GB2312" w:hAnsi="仿宋_GB2312" w:cs="仿宋_GB2312"/>
          <w:szCs w:val="32"/>
        </w:rPr>
        <w:t>局财务管理规定》对项目经费实行专款专用，强化资金使用的监督，包括经费预算和计划的审核审批，预算执行情况和程序的监督，确保了资金的使用效率和项目的顺利实施。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三、项目组织实施情况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（一）项目组织情况分析</w:t>
      </w:r>
    </w:p>
    <w:p>
      <w:pPr>
        <w:topLinePunct/>
        <w:ind w:firstLine="594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对于基础设施建设项目能够严格执行勘察、设计、项目法人责任制，招投标制、合同制、工程监理制、工程质量监督制等基本建设程序，本着科学合理、符合中小学发展的理念进行设计，在施工过程中，严防工程质量问题及安全事故发生，严格按建筑规范要求进行规划建设及施工，确保工程按质按量实施，并聘请了造价单位对项目施工过程进行了跟踪审计，项目结束后由区审计局安排中介机构对竣工决算进行最终审计，确保投资的真实合理。</w:t>
      </w:r>
    </w:p>
    <w:p>
      <w:pPr>
        <w:topLinePunct/>
        <w:ind w:firstLine="594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（二）项目管理情况分析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项目经区政府批准同意委托区级平台公司（即：昆明市呈贡区城市投资集团有限公司）代建，负责项目前期阶段、施工阶段、竣工阶段所有工程相关事项，直至工程竣工验收交付使用。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四、项目绩效情况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（一）项目经济性分析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1.</w:t>
      </w:r>
      <w:r>
        <w:rPr>
          <w:rFonts w:hint="eastAsia" w:ascii="仿宋_GB2312"/>
          <w:szCs w:val="32"/>
        </w:rPr>
        <w:t>项目成本（预算）控制情况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项目成本控制在预算范围内。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2.</w:t>
      </w:r>
      <w:r>
        <w:rPr>
          <w:rFonts w:hint="eastAsia" w:ascii="仿宋_GB2312"/>
          <w:szCs w:val="32"/>
        </w:rPr>
        <w:t>项目成本（预算）节约情况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无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（二）项目的效率性分析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项目土石方工程完成，桩基础工程完成，正在进行地基与基础工程施工，项目实施进度符合绩效目标要求。工程质量经现场监理及质检等政府相关职能部门验收合格，均符合国家及地方验收标准。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（三）项目的有效性分析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就项目绩效总目标而言，支出进度符合预期目标要求。项目资金使用有效推进了项目建设顺利进行，同时确保了春节期间农民工工资的顺利拨付。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（四）项目可持续性分析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项目的实施，进一步解决了呈贡雨花片区适龄儿童就近上学难的问题，完善了呈贡区小学布点规划建设，更多孩子感受到了政府的温暖，健康快乐的成长，取得了一定的社会效益。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五、存在的问题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（一）专项管理方面的问题</w:t>
      </w:r>
    </w:p>
    <w:p>
      <w:pPr>
        <w:topLinePunct/>
        <w:ind w:firstLine="594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无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（二）资金分配方面的问题</w:t>
      </w:r>
    </w:p>
    <w:p>
      <w:pPr>
        <w:topLinePunct/>
        <w:ind w:firstLine="594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无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（三）资金拨付方面的问题</w:t>
      </w:r>
      <w:bookmarkStart w:id="0" w:name="_GoBack"/>
      <w:bookmarkEnd w:id="0"/>
    </w:p>
    <w:p>
      <w:pPr>
        <w:topLinePunct/>
        <w:ind w:firstLine="594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无</w:t>
      </w:r>
    </w:p>
    <w:p>
      <w:pPr>
        <w:numPr>
          <w:numId w:val="0"/>
        </w:numPr>
        <w:topLinePunct/>
        <w:ind w:left="592" w:leftChars="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szCs w:val="32"/>
        </w:rPr>
        <w:t>资金使用方面的问题</w:t>
      </w:r>
    </w:p>
    <w:p>
      <w:pPr>
        <w:numPr>
          <w:numId w:val="0"/>
        </w:numPr>
        <w:topLinePunct/>
        <w:ind w:firstLine="594" w:firstLineChars="200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Cs w:val="32"/>
          <w:lang w:eastAsia="zh-CN"/>
        </w:rPr>
        <w:t>无</w:t>
      </w:r>
    </w:p>
    <w:p>
      <w:pPr>
        <w:numPr>
          <w:numId w:val="0"/>
        </w:num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（一）后续工作计划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目前该项目已完成竣工验收，下一步，我局将督促代建单位尽快完成竣工决算。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（二）主要经验做法、改进措施和有关建议等</w:t>
      </w:r>
    </w:p>
    <w:p>
      <w:pPr>
        <w:ind w:firstLine="594" w:firstLineChars="200"/>
      </w:pPr>
      <w:r>
        <w:rPr>
          <w:rFonts w:hint="eastAsia"/>
        </w:rPr>
        <w:t>无</w:t>
      </w:r>
    </w:p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OWNmZDMyOGE0ODI5MjJiODhjMzlkNDhlOTc0MDIifQ=="/>
  </w:docVars>
  <w:rsids>
    <w:rsidRoot w:val="00A60CB2"/>
    <w:rsid w:val="0058287D"/>
    <w:rsid w:val="007B2C31"/>
    <w:rsid w:val="00A60CB2"/>
    <w:rsid w:val="00A64155"/>
    <w:rsid w:val="05AE36CA"/>
    <w:rsid w:val="155E5E3C"/>
    <w:rsid w:val="378A5996"/>
    <w:rsid w:val="5A3C6978"/>
    <w:rsid w:val="6760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1376</Words>
  <Characters>1444</Characters>
  <Lines>10</Lines>
  <Paragraphs>2</Paragraphs>
  <TotalTime>17</TotalTime>
  <ScaleCrop>false</ScaleCrop>
  <LinksUpToDate>false</LinksUpToDate>
  <CharactersWithSpaces>1445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2022-09-27T05:26:16Z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91EE68E698244C52898515FB55B28941</vt:lpwstr>
  </property>
</Properties>
</file>