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2021年改善普通高中办学条件中央补助专项资金支出绩效报告（自评）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ascii="仿宋_GB2312"/>
          <w:szCs w:val="32"/>
        </w:rPr>
      </w:pPr>
      <w:r>
        <w:rPr>
          <w:rFonts w:hint="eastAsia" w:ascii="仿宋_GB2312"/>
          <w:szCs w:val="32"/>
        </w:rPr>
        <w:t>2021年改善普通高中办学条件中央补助专项资金用于昆明市外国语学校呈贡校区建设，该项目位于呈贡区乌龙片区，北邻金盾俊园东侧，南侧为30m规划道路，西侧现状为空地，项目净用地面积为124.93亩，总建筑面积为84849.42</w:t>
      </w:r>
      <w:r>
        <w:rPr>
          <w:rFonts w:hint="eastAsia" w:ascii="Segoe UI Symbol" w:hAnsi="Segoe UI Symbol" w:eastAsia="Segoe UI Symbol" w:cs="Segoe UI Symbol"/>
          <w:szCs w:val="32"/>
        </w:rPr>
        <w:t>㎡</w:t>
      </w:r>
      <w:r>
        <w:rPr>
          <w:rFonts w:hint="eastAsia" w:ascii="仿宋_GB2312" w:hAnsi="仿宋_GB2312" w:cs="仿宋_GB2312"/>
          <w:szCs w:val="32"/>
        </w:rPr>
        <w:t>，拟建成</w:t>
      </w:r>
      <w:r>
        <w:rPr>
          <w:rFonts w:ascii="仿宋_GB2312"/>
          <w:szCs w:val="32"/>
        </w:rPr>
        <w:t>70</w:t>
      </w:r>
      <w:r>
        <w:rPr>
          <w:rFonts w:hint="eastAsia" w:ascii="仿宋_GB2312"/>
          <w:szCs w:val="32"/>
        </w:rPr>
        <w:t>班，其中1</w:t>
      </w:r>
      <w:r>
        <w:rPr>
          <w:rFonts w:ascii="仿宋_GB2312"/>
          <w:szCs w:val="32"/>
        </w:rPr>
        <w:t>2</w:t>
      </w:r>
      <w:r>
        <w:rPr>
          <w:rFonts w:hint="eastAsia" w:ascii="仿宋_GB2312"/>
          <w:szCs w:val="32"/>
        </w:rPr>
        <w:t>班高中。目前项目土地款（12493万元）已缴纳。项目分两期进行建设，一期工程建筑面积为30590</w:t>
      </w:r>
      <w:r>
        <w:rPr>
          <w:rFonts w:hint="eastAsia" w:ascii="Segoe UI Symbol" w:hAnsi="Segoe UI Symbol" w:eastAsia="Segoe UI Symbol" w:cs="Segoe UI Symbol"/>
          <w:szCs w:val="32"/>
        </w:rPr>
        <w:t>㎡</w:t>
      </w:r>
      <w:r>
        <w:rPr>
          <w:rFonts w:hint="eastAsia" w:ascii="仿宋_GB2312" w:hAnsi="仿宋_GB2312" w:cs="仿宋_GB2312"/>
          <w:szCs w:val="32"/>
        </w:rPr>
        <w:t>，初步设计概算约</w:t>
      </w:r>
      <w:r>
        <w:rPr>
          <w:rFonts w:hint="eastAsia" w:ascii="仿宋_GB2312"/>
          <w:szCs w:val="32"/>
        </w:rPr>
        <w:t>19004.0676万元，目前主体结构及室内装修工程已完成，正在进行室外绿化、给水及附属工程施工。二期工程建筑面积54259.42</w:t>
      </w:r>
      <w:r>
        <w:rPr>
          <w:rFonts w:hint="eastAsia" w:ascii="Segoe UI Symbol" w:hAnsi="Segoe UI Symbol" w:eastAsia="Segoe UI Symbol" w:cs="Segoe UI Symbol"/>
          <w:szCs w:val="32"/>
        </w:rPr>
        <w:t>㎡</w:t>
      </w:r>
      <w:r>
        <w:rPr>
          <w:rFonts w:hint="eastAsia" w:ascii="仿宋_GB2312" w:hAnsi="仿宋_GB2312" w:cs="仿宋_GB2312"/>
          <w:szCs w:val="32"/>
        </w:rPr>
        <w:t>，概算总投资约</w:t>
      </w:r>
      <w:r>
        <w:rPr>
          <w:rFonts w:hint="eastAsia" w:ascii="仿宋_GB2312"/>
          <w:szCs w:val="32"/>
        </w:rPr>
        <w:t>37287.88万元，建设内容包括国际交流中心、艺体中心、综合体育馆、初中部教学楼、看台。目前一期工程于2019年11月30日开工，已完工并于2021年8月移交使用，二期工程于2021年9月开工。</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ascii="仿宋_GB2312" w:hAnsi="仿宋_GB2312" w:cs="仿宋_GB2312"/>
          <w:szCs w:val="32"/>
        </w:rPr>
      </w:pPr>
      <w:r>
        <w:rPr>
          <w:rFonts w:hint="eastAsia" w:ascii="仿宋_GB2312" w:hAnsi="仿宋_GB2312" w:cs="仿宋_GB2312"/>
          <w:szCs w:val="32"/>
        </w:rPr>
        <w:t>1.绩效目标设定情况</w:t>
      </w:r>
    </w:p>
    <w:p>
      <w:pPr>
        <w:topLinePunct/>
        <w:ind w:firstLine="594" w:firstLineChars="200"/>
        <w:rPr>
          <w:rFonts w:ascii="仿宋_GB2312" w:hAnsi="仿宋_GB2312" w:cs="仿宋_GB2312"/>
          <w:szCs w:val="32"/>
        </w:rPr>
      </w:pPr>
      <w:r>
        <w:rPr>
          <w:rFonts w:hint="eastAsia" w:ascii="仿宋_GB2312" w:hAnsi="仿宋_GB2312" w:cs="仿宋_GB2312"/>
          <w:szCs w:val="32"/>
        </w:rPr>
        <w:t>本次安排项目市级专项资金共</w:t>
      </w:r>
      <w:r>
        <w:rPr>
          <w:rFonts w:ascii="仿宋_GB2312" w:hAnsi="仿宋_GB2312" w:cs="仿宋_GB2312"/>
          <w:szCs w:val="32"/>
        </w:rPr>
        <w:t>2600</w:t>
      </w:r>
      <w:r>
        <w:rPr>
          <w:rFonts w:hint="eastAsia" w:ascii="仿宋_GB2312" w:hAnsi="仿宋_GB2312" w:cs="仿宋_GB2312"/>
          <w:szCs w:val="32"/>
        </w:rPr>
        <w:t>万元。</w:t>
      </w:r>
    </w:p>
    <w:p>
      <w:pPr>
        <w:topLinePunct/>
        <w:ind w:firstLine="594" w:firstLineChars="200"/>
        <w:rPr>
          <w:rFonts w:ascii="仿宋_GB2312" w:hAnsi="仿宋_GB2312" w:cs="仿宋_GB2312"/>
          <w:szCs w:val="32"/>
        </w:rPr>
      </w:pPr>
      <w:r>
        <w:rPr>
          <w:rFonts w:hint="eastAsia" w:ascii="仿宋_GB2312" w:hAnsi="仿宋_GB2312" w:cs="仿宋_GB2312"/>
          <w:szCs w:val="32"/>
        </w:rPr>
        <w:t>2.指标完成情况</w:t>
      </w:r>
    </w:p>
    <w:p>
      <w:pPr>
        <w:topLinePunct/>
        <w:ind w:firstLine="594" w:firstLineChars="200"/>
        <w:rPr>
          <w:rFonts w:ascii="仿宋_GB2312"/>
          <w:szCs w:val="32"/>
        </w:rPr>
      </w:pPr>
      <w:r>
        <w:rPr>
          <w:rFonts w:hint="eastAsia" w:ascii="仿宋_GB2312" w:hAnsi="仿宋_GB2312" w:cs="仿宋_GB2312"/>
          <w:szCs w:val="32"/>
        </w:rPr>
        <w:t>截至至202</w:t>
      </w:r>
      <w:r>
        <w:rPr>
          <w:rFonts w:ascii="仿宋_GB2312" w:hAnsi="仿宋_GB2312" w:cs="仿宋_GB2312"/>
          <w:szCs w:val="32"/>
        </w:rPr>
        <w:t>1</w:t>
      </w:r>
      <w:r>
        <w:rPr>
          <w:rFonts w:hint="eastAsia" w:ascii="仿宋_GB2312" w:hAnsi="仿宋_GB2312" w:cs="仿宋_GB2312"/>
          <w:szCs w:val="32"/>
        </w:rPr>
        <w:t>年12月底，</w:t>
      </w:r>
      <w:r>
        <w:rPr>
          <w:rFonts w:ascii="仿宋_GB2312" w:hAnsi="仿宋_GB2312" w:cs="仿宋_GB2312"/>
          <w:szCs w:val="32"/>
        </w:rPr>
        <w:t>2600</w:t>
      </w:r>
      <w:r>
        <w:rPr>
          <w:rFonts w:hint="eastAsia" w:ascii="仿宋_GB2312" w:hAnsi="仿宋_GB2312" w:cs="仿宋_GB2312"/>
          <w:szCs w:val="32"/>
        </w:rPr>
        <w:t>万元全部拨付至项目代建单位（即：昆明呈贡新区教育发展投资有限公司），用于支付学校项目建设进度款。</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昆明市外国语学校呈贡校区建设项目总投资约5.4亿元，项目土地款为12493万元（已缴纳），项目执行过程中，严格按照201</w:t>
      </w:r>
      <w:r>
        <w:rPr>
          <w:rFonts w:hint="eastAsia" w:ascii="仿宋_GB2312" w:hAnsi="仿宋_GB2312" w:cs="仿宋_GB2312"/>
          <w:szCs w:val="32"/>
          <w:lang w:val="en-US" w:eastAsia="zh-CN"/>
        </w:rPr>
        <w:t>9</w:t>
      </w:r>
      <w:r>
        <w:rPr>
          <w:rFonts w:hint="eastAsia" w:ascii="仿宋_GB2312" w:hAnsi="仿宋_GB2312" w:cs="仿宋_GB2312"/>
          <w:szCs w:val="32"/>
        </w:rPr>
        <w:t>年修订的《昆明市呈贡区教育</w:t>
      </w:r>
      <w:r>
        <w:rPr>
          <w:rFonts w:hint="eastAsia" w:ascii="仿宋_GB2312" w:hAnsi="仿宋_GB2312" w:cs="仿宋_GB2312"/>
          <w:szCs w:val="32"/>
          <w:lang w:eastAsia="zh-CN"/>
        </w:rPr>
        <w:t>体育</w:t>
      </w:r>
      <w:r>
        <w:rPr>
          <w:rFonts w:hint="eastAsia" w:ascii="仿宋_GB2312" w:hAnsi="仿宋_GB2312" w:cs="仿宋_GB2312"/>
          <w:szCs w:val="32"/>
        </w:rPr>
        <w:t>局财务管理规定》对项目经费实行专款专用，强化资金使用的监督，包括经费预算和计划的审核审批，预算执行情况和程序的监督，确保了资金的使用效率和项目的顺利实施。</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对于基础设施建设项目能够严格执行勘察、设计、项目法人责任制，招投标制、合同制、工程监理制、工程质量监督制等基本建设程序，本着科学合理、符合中小学发展的理念进行设计，在施工过程中，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topLinePunct/>
        <w:ind w:firstLine="594" w:firstLineChars="200"/>
        <w:rPr>
          <w:rFonts w:ascii="仿宋_GB2312" w:hAnsi="仿宋_GB2312" w:cs="仿宋_GB2312"/>
          <w:szCs w:val="32"/>
        </w:rPr>
      </w:pPr>
      <w:r>
        <w:rPr>
          <w:rFonts w:hint="eastAsia" w:ascii="楷体_GB2312" w:hAnsi="楷体_GB2312" w:eastAsia="楷体_GB2312" w:cs="楷体_GB2312"/>
          <w:szCs w:val="32"/>
        </w:rPr>
        <w:t>（二）项目管理情况分析</w:t>
      </w:r>
    </w:p>
    <w:p>
      <w:pPr>
        <w:topLinePunct/>
        <w:ind w:firstLine="594" w:firstLineChars="200"/>
        <w:rPr>
          <w:rFonts w:ascii="仿宋_GB2312"/>
          <w:szCs w:val="32"/>
        </w:rPr>
      </w:pPr>
      <w:r>
        <w:rPr>
          <w:rFonts w:hint="eastAsia" w:ascii="仿宋_GB2312" w:hAnsi="仿宋_GB2312" w:cs="仿宋_GB2312"/>
          <w:szCs w:val="32"/>
        </w:rPr>
        <w:t>项目经区政府批准同意委托区级平台公司（即：昆明呈贡新区教育发展投资有限公司）代建，负责项目前期阶段、施工阶段、竣工阶段所有工程相关事项，直至工程竣工验收交付使用。</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topLinePunct/>
        <w:ind w:firstLine="594" w:firstLineChars="200"/>
        <w:rPr>
          <w:rFonts w:ascii="仿宋_GB2312"/>
          <w:szCs w:val="32"/>
        </w:rPr>
      </w:pPr>
      <w:r>
        <w:rPr>
          <w:rFonts w:hint="eastAsia" w:ascii="仿宋_GB2312"/>
          <w:szCs w:val="32"/>
          <w:lang w:val="en-US" w:eastAsia="zh-CN"/>
        </w:rPr>
        <w:t>1.</w:t>
      </w:r>
      <w:r>
        <w:rPr>
          <w:rFonts w:hint="eastAsia" w:ascii="仿宋_GB2312"/>
          <w:szCs w:val="32"/>
        </w:rPr>
        <w:t>项目成本（预算）控制情况</w:t>
      </w:r>
    </w:p>
    <w:p>
      <w:pPr>
        <w:topLinePunct/>
        <w:ind w:firstLine="594" w:firstLineChars="200"/>
        <w:rPr>
          <w:rFonts w:ascii="仿宋_GB2312"/>
          <w:szCs w:val="32"/>
        </w:rPr>
      </w:pPr>
      <w:r>
        <w:rPr>
          <w:rFonts w:hint="eastAsia" w:ascii="仿宋_GB2312"/>
          <w:szCs w:val="32"/>
        </w:rPr>
        <w:t>项目成本控制在预算范围内。</w:t>
      </w:r>
    </w:p>
    <w:p>
      <w:pPr>
        <w:topLinePunct/>
        <w:ind w:firstLine="594" w:firstLineChars="200"/>
        <w:rPr>
          <w:rFonts w:ascii="仿宋_GB2312"/>
          <w:szCs w:val="32"/>
        </w:rPr>
      </w:pPr>
      <w:r>
        <w:rPr>
          <w:rFonts w:hint="eastAsia" w:ascii="仿宋_GB2312"/>
          <w:szCs w:val="32"/>
          <w:lang w:val="en-US" w:eastAsia="zh-CN"/>
        </w:rPr>
        <w:t>2.</w:t>
      </w:r>
      <w:r>
        <w:rPr>
          <w:rFonts w:hint="eastAsia" w:ascii="仿宋_GB2312"/>
          <w:szCs w:val="32"/>
        </w:rPr>
        <w:t>项目成本（预算）节约情况</w:t>
      </w:r>
    </w:p>
    <w:p>
      <w:pPr>
        <w:topLinePunct/>
        <w:ind w:firstLine="594" w:firstLineChars="200"/>
        <w:rPr>
          <w:rFonts w:ascii="仿宋_GB2312"/>
          <w:szCs w:val="32"/>
        </w:rPr>
      </w:pPr>
      <w:r>
        <w:rPr>
          <w:rFonts w:hint="eastAsia" w:ascii="仿宋_GB2312"/>
          <w:szCs w:val="32"/>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（二）项目的效率性分析</w:t>
      </w:r>
    </w:p>
    <w:p>
      <w:pPr>
        <w:topLinePunct/>
        <w:ind w:firstLine="594" w:firstLineChars="200"/>
        <w:rPr>
          <w:rFonts w:ascii="仿宋_GB2312"/>
          <w:szCs w:val="32"/>
        </w:rPr>
      </w:pPr>
      <w:r>
        <w:rPr>
          <w:rFonts w:hint="eastAsia" w:ascii="仿宋_GB2312"/>
          <w:szCs w:val="32"/>
        </w:rPr>
        <w:t>目前一期工程于2019年11月30日开工，已完工并于2021年8月移交使用，二期工程于2021年9月开工。</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topLinePunct/>
        <w:ind w:firstLine="594" w:firstLineChars="200"/>
        <w:rPr>
          <w:rFonts w:ascii="仿宋_GB2312"/>
          <w:szCs w:val="32"/>
        </w:rPr>
      </w:pPr>
      <w:r>
        <w:rPr>
          <w:rFonts w:hint="eastAsia" w:ascii="仿宋_GB2312"/>
          <w:szCs w:val="32"/>
        </w:rPr>
        <w:t>就项目绩效总目标而言，支出进度符合预期目标要求。项目资金使用有效推进了项目建设顺利进行，同时确保了春节期间农民工工资的顺利拨付。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（四）项目可持续性分析</w:t>
      </w:r>
    </w:p>
    <w:p>
      <w:pPr>
        <w:topLinePunct/>
        <w:ind w:firstLine="594" w:firstLineChars="200"/>
        <w:rPr>
          <w:rFonts w:ascii="仿宋_GB2312"/>
          <w:szCs w:val="32"/>
        </w:rPr>
      </w:pPr>
      <w:r>
        <w:rPr>
          <w:rFonts w:hint="eastAsia" w:ascii="仿宋_GB2312"/>
          <w:szCs w:val="32"/>
        </w:rPr>
        <w:t>项目的实施符合2018版</w:t>
      </w:r>
      <w:bookmarkStart w:id="0" w:name="_GoBack"/>
      <w:bookmarkEnd w:id="0"/>
      <w:r>
        <w:rPr>
          <w:rFonts w:hint="eastAsia" w:ascii="仿宋_GB2312"/>
          <w:szCs w:val="32"/>
        </w:rPr>
        <w:t>《昆明市呈贡区中小学、幼儿园建设布点布局专项规划（修编）》成果要求，进一步解决了呈贡雨花片区适龄儿童、子女就近上学难的问题，让更多孩子接受高质量的学前教育及义务教育，更多孩子感受到了政府的温暖，健康快乐的成长，取得了一定的社会效益。</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仿宋_GB2312"/>
          <w:szCs w:val="32"/>
        </w:rPr>
      </w:pPr>
      <w:r>
        <w:rPr>
          <w:rFonts w:hint="eastAsia" w:ascii="仿宋_GB2312"/>
          <w:szCs w:val="32"/>
        </w:rPr>
        <w:t>（三）资金拨付方面的问题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left="592" w:leftChars="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ascii="仿宋_GB2312"/>
          <w:szCs w:val="32"/>
        </w:rPr>
      </w:pPr>
      <w:r>
        <w:rPr>
          <w:rFonts w:hint="eastAsia" w:ascii="仿宋_GB2312"/>
          <w:szCs w:val="32"/>
        </w:rPr>
        <w:t>下一步我局将继续加强项目资金使用与管理，认真谋划好项目，加快推进二期项目建设。</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topLinePunct/>
        <w:ind w:firstLine="594" w:firstLineChars="200"/>
        <w:rPr>
          <w:rFonts w:ascii="仿宋_GB2312"/>
          <w:szCs w:val="32"/>
        </w:rPr>
      </w:pPr>
      <w:r>
        <w:rPr>
          <w:rFonts w:hint="eastAsia" w:ascii="仿宋_GB2312"/>
          <w:szCs w:val="32"/>
        </w:rPr>
        <w:t>无</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2F5F62"/>
    <w:rsid w:val="00062204"/>
    <w:rsid w:val="00234E13"/>
    <w:rsid w:val="002F5F62"/>
    <w:rsid w:val="008D6279"/>
    <w:rsid w:val="008F2A53"/>
    <w:rsid w:val="00A0513A"/>
    <w:rsid w:val="00BD5176"/>
    <w:rsid w:val="00C064E5"/>
    <w:rsid w:val="05AE36CA"/>
    <w:rsid w:val="0DC80FD3"/>
    <w:rsid w:val="1CC05C75"/>
    <w:rsid w:val="378A5996"/>
    <w:rsid w:val="5A3C6978"/>
    <w:rsid w:val="67600811"/>
    <w:rsid w:val="7365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1337</Words>
  <Characters>1439</Characters>
  <Lines>11</Lines>
  <Paragraphs>3</Paragraphs>
  <TotalTime>0</TotalTime>
  <ScaleCrop>false</ScaleCrop>
  <LinksUpToDate>false</LinksUpToDate>
  <CharactersWithSpaces>1439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2022-09-27T05:26:57Z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5A2DC18A3D444312A94098016E8C38D1</vt:lpwstr>
  </property>
</Properties>
</file>