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昆明市呈贡区教育信息中心</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p>
    <w:p>
      <w:pPr>
        <w:spacing w:line="600" w:lineRule="exact"/>
        <w:jc w:val="center"/>
        <w:rPr>
          <w:rFonts w:ascii="仿宋_GB2312"/>
          <w:b/>
          <w:sz w:val="44"/>
          <w:szCs w:val="44"/>
        </w:rPr>
      </w:pPr>
      <w:r>
        <w:rPr>
          <w:rFonts w:hint="eastAsia" w:ascii="方正小标宋简体" w:hAnsi="方正小标宋简体" w:eastAsia="方正小标宋简体" w:cs="方正小标宋简体"/>
          <w:sz w:val="44"/>
          <w:szCs w:val="44"/>
          <w:lang w:eastAsia="zh-CN"/>
        </w:rPr>
        <w:t>教师培训经费</w:t>
      </w:r>
      <w:r>
        <w:rPr>
          <w:rFonts w:hint="eastAsia" w:ascii="方正小标宋简体" w:hAnsi="方正小标宋简体" w:eastAsia="方正小标宋简体" w:cs="方正小标宋简体"/>
          <w:sz w:val="44"/>
          <w:szCs w:val="44"/>
        </w:rPr>
        <w:t>项目支出绩效评价报告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lang w:eastAsia="zh-CN"/>
        </w:rPr>
      </w:pPr>
      <w:r>
        <w:rPr>
          <w:rFonts w:hint="eastAsia" w:ascii="楷体_GB2312" w:hAnsi="Calibri" w:eastAsia="楷体_GB2312" w:cs="Times New Roman"/>
          <w:szCs w:val="22"/>
          <w:lang w:eastAsia="zh-CN"/>
        </w:rPr>
        <w:t>（一）项目基本情况</w:t>
      </w:r>
      <w:bookmarkStart w:id="0" w:name="_GoBack"/>
      <w:bookmarkEnd w:id="0"/>
      <w:r>
        <w:rPr>
          <w:rFonts w:hint="eastAsia" w:ascii="楷体_GB2312" w:hAnsi="Calibri" w:eastAsia="楷体_GB2312" w:cs="Times New Roman"/>
          <w:szCs w:val="22"/>
          <w:lang w:eastAsia="zh-CN"/>
        </w:rPr>
        <w:t>简介</w:t>
      </w:r>
    </w:p>
    <w:p>
      <w:pPr>
        <w:ind w:firstLine="594" w:firstLineChars="200"/>
        <w:rPr>
          <w:rFonts w:hint="eastAsia" w:ascii="仿宋_GB2312"/>
          <w:szCs w:val="32"/>
        </w:rPr>
      </w:pPr>
      <w:r>
        <w:rPr>
          <w:rFonts w:hint="eastAsia" w:ascii="仿宋_GB2312" w:hAnsi="仿宋_GB2312" w:eastAsia="仿宋_GB2312" w:cs="仿宋_GB2312"/>
          <w:sz w:val="32"/>
          <w:szCs w:val="32"/>
        </w:rPr>
        <w:t>根据“国培”“省培”和市级培训项目要求，区教育信息中心组织375名中小学幼儿园管理者、教师、教育信息中心研训人员参加相应的学段、学科国培、省级“万名校长”培训。</w:t>
      </w:r>
      <w:r>
        <w:rPr>
          <w:rFonts w:hint="eastAsia" w:ascii="仿宋_GB2312" w:hAnsi="Times New Roman" w:eastAsia="仿宋_GB2312" w:cs="Times New Roman"/>
          <w:sz w:val="32"/>
          <w:szCs w:val="32"/>
        </w:rPr>
        <w:t>积极探索研训结合的形式开展教研和培训活动。</w:t>
      </w:r>
      <w:r>
        <w:rPr>
          <w:rFonts w:hint="eastAsia" w:ascii="仿宋_GB2312" w:hAnsi="仿宋_GB2312" w:eastAsia="仿宋_GB2312" w:cs="仿宋_GB2312"/>
          <w:sz w:val="32"/>
          <w:szCs w:val="32"/>
        </w:rPr>
        <w:t>常规教研发挥引领、示范作用，积极创新教研活动形式，线上与线下相结合，全面开展线上教研和培训</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积极</w:t>
      </w:r>
      <w:r>
        <w:rPr>
          <w:rFonts w:hint="eastAsia" w:ascii="仿宋_GB2312" w:hAnsi="仿宋_GB2312" w:eastAsia="仿宋_GB2312" w:cs="仿宋_GB2312"/>
          <w:sz w:val="32"/>
          <w:szCs w:val="32"/>
        </w:rPr>
        <w:t>开展呈贡区第四届中小学幼儿园教师优质课赛</w:t>
      </w:r>
      <w:r>
        <w:rPr>
          <w:rFonts w:hint="eastAsia" w:ascii="仿宋_GB2312" w:hAnsi="Times New Roman" w:cs="Times New Roman"/>
          <w:sz w:val="32"/>
          <w:szCs w:val="32"/>
          <w:lang w:eastAsia="zh-CN"/>
        </w:rPr>
        <w:t>。</w:t>
      </w:r>
      <w:r>
        <w:rPr>
          <w:rFonts w:hint="eastAsia" w:ascii="仿宋_GB2312" w:hAnsi="仿宋_GB2312" w:eastAsia="仿宋_GB2312" w:cs="仿宋_GB2312"/>
          <w:sz w:val="32"/>
          <w:szCs w:val="32"/>
        </w:rPr>
        <w:t>2021年初下发区级名师工作室推评通知，鼓励各校管理者和教师积极申报，承担名长基地和名师工作室任务，培养学科教师和后备干部。指导学校（幼儿园）申报2021年度全国教育科研课题共计5项。</w:t>
      </w:r>
      <w:r>
        <w:rPr>
          <w:rFonts w:hint="eastAsia" w:ascii="仿宋_GB2312" w:hAnsi="Times New Roman" w:eastAsia="仿宋_GB2312" w:cs="Times New Roman"/>
          <w:sz w:val="32"/>
          <w:szCs w:val="32"/>
        </w:rPr>
        <w:t>严格执行教研员每周二至五下校推门指导听课，抓实对学校幼儿园和教师日常教育教学的督促和指导；</w:t>
      </w:r>
      <w:r>
        <w:rPr>
          <w:rFonts w:hint="eastAsia" w:ascii="仿宋_GB2312" w:hAnsi="仿宋_GB2312" w:eastAsia="仿宋_GB2312" w:cs="仿宋_GB2312"/>
          <w:sz w:val="32"/>
          <w:szCs w:val="32"/>
        </w:rPr>
        <w:t>指导好学校幼儿园校本培训和自主教研活动的开展；完善教育质量监测体系</w:t>
      </w:r>
      <w:r>
        <w:rPr>
          <w:rFonts w:hint="eastAsia" w:ascii="仿宋_GB2312" w:hAnsi="仿宋_GB2312" w:eastAsia="仿宋_GB2312" w:cs="仿宋_GB2312"/>
          <w:sz w:val="32"/>
          <w:szCs w:val="32"/>
          <w:lang w:eastAsia="zh-CN"/>
        </w:rPr>
        <w:t>，为有效提高教育教学质量服务</w:t>
      </w:r>
      <w:r>
        <w:rPr>
          <w:rFonts w:hint="eastAsia" w:ascii="仿宋_GB2312" w:hAnsi="仿宋_GB2312" w:eastAsia="仿宋_GB2312" w:cs="仿宋_GB2312"/>
          <w:sz w:val="32"/>
          <w:szCs w:val="32"/>
        </w:rPr>
        <w:t>。假期针对全区教师开展教学能力和教科研能力提升专题培训，全区中小学幼儿园教师全员参训。</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lang w:eastAsia="zh-CN"/>
        </w:rPr>
      </w:pPr>
      <w:r>
        <w:rPr>
          <w:rFonts w:hint="eastAsia" w:ascii="楷体_GB2312" w:hAnsi="Calibri" w:eastAsia="楷体_GB2312" w:cs="Times New Roman"/>
          <w:szCs w:val="22"/>
          <w:lang w:eastAsia="zh-CN"/>
        </w:rPr>
        <w:t>（二）绩效目标设定及指标完成情况</w:t>
      </w:r>
    </w:p>
    <w:p>
      <w:pPr>
        <w:keepNext w:val="0"/>
        <w:keepLines w:val="0"/>
        <w:pageBreakBefore w:val="0"/>
        <w:kinsoku/>
        <w:wordWrap/>
        <w:overflowPunct/>
        <w:topLinePunct w:val="0"/>
        <w:autoSpaceDE/>
        <w:autoSpaceDN/>
        <w:bidi w:val="0"/>
        <w:adjustRightInd/>
        <w:spacing w:line="560" w:lineRule="exact"/>
        <w:ind w:firstLine="594"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提高服务意识，</w:t>
      </w:r>
      <w:r>
        <w:rPr>
          <w:rFonts w:hint="eastAsia" w:ascii="仿宋_GB2312" w:hAnsi="仿宋_GB2312" w:eastAsia="仿宋_GB2312" w:cs="仿宋_GB2312"/>
          <w:b w:val="0"/>
          <w:bCs w:val="0"/>
          <w:sz w:val="32"/>
          <w:szCs w:val="32"/>
        </w:rPr>
        <w:t>严格落实各级培训任务。根据“国培”“省培”和市级培训项目要求，区教育信息中心组织375名中小学幼儿园管理者、教师、教育信息中心研训人员参加相应的学段、学科国培、省级“万名校长”培训。组织呈贡区公民办教师参加“昆明市远程网络课程”在线学习培训。遴选604名教师、学校管理者参加市级开展的多个学科骨干教师培训和校长论坛等培训。完成上级分配的指标任务，学员参训率100%。</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创新工作形式，</w:t>
      </w:r>
      <w:r>
        <w:rPr>
          <w:rFonts w:hint="eastAsia" w:ascii="仿宋_GB2312" w:hAnsi="仿宋_GB2312" w:eastAsia="仿宋_GB2312" w:cs="仿宋_GB2312"/>
          <w:b w:val="0"/>
          <w:bCs w:val="0"/>
          <w:sz w:val="32"/>
          <w:szCs w:val="32"/>
        </w:rPr>
        <w:t>积极开展区级培训项目。积极探索研训结合的形式开展教研和培训活动。一年来开展呈贡区中小学幼儿园主题教研活动52次，4548人次参加了活动；开展49个科次的初中小学教材培训及期末考试质量分析，2907人次参加；与昆明师专附小呈贡海岸城分校等7所学校开展“沉浸式驻校研训”，活动共计24次，4097名教师参训；常规教研发挥引领、示范作用，积极创新教研活动形式，线上与线下相结合，全面开展线上教研和培训，2021年共计</w:t>
      </w:r>
      <w:r>
        <w:rPr>
          <w:rFonts w:hint="eastAsia" w:ascii="仿宋_GB2312" w:hAnsi="仿宋_GB2312" w:eastAsia="仿宋_GB2312" w:cs="仿宋_GB2312"/>
          <w:b w:val="0"/>
          <w:bCs w:val="0"/>
          <w:sz w:val="32"/>
          <w:szCs w:val="32"/>
          <w:lang w:val="en-US" w:eastAsia="zh-CN"/>
        </w:rPr>
        <w:t>30余</w:t>
      </w:r>
      <w:r>
        <w:rPr>
          <w:rFonts w:hint="eastAsia" w:ascii="仿宋_GB2312" w:hAnsi="仿宋_GB2312" w:eastAsia="仿宋_GB2312" w:cs="仿宋_GB2312"/>
          <w:b w:val="0"/>
          <w:bCs w:val="0"/>
          <w:sz w:val="32"/>
          <w:szCs w:val="32"/>
        </w:rPr>
        <w:t>次，涉及所有学科</w:t>
      </w:r>
      <w:r>
        <w:rPr>
          <w:rFonts w:hint="eastAsia" w:ascii="仿宋_GB2312" w:hAnsi="仿宋_GB2312" w:eastAsia="仿宋_GB2312" w:cs="仿宋_GB2312"/>
          <w:b w:val="0"/>
          <w:bCs w:val="0"/>
          <w:sz w:val="32"/>
          <w:szCs w:val="32"/>
          <w:lang w:val="en-US" w:eastAsia="zh-CN"/>
        </w:rPr>
        <w:t>6445</w:t>
      </w:r>
      <w:r>
        <w:rPr>
          <w:rFonts w:hint="eastAsia" w:ascii="仿宋_GB2312" w:hAnsi="仿宋_GB2312" w:eastAsia="仿宋_GB2312" w:cs="仿宋_GB2312"/>
          <w:b w:val="0"/>
          <w:bCs w:val="0"/>
          <w:sz w:val="32"/>
          <w:szCs w:val="32"/>
        </w:rPr>
        <w:t>名教师；创新形式对2020年招聘的新教师采取“集中研训+自陪自练+师带徒+校本教研+网络研修”进行培训，新教师集中培训达1443人次；与西南联大研究院附属学校联合开展干部培训31名学校后备干部参加为期2年的培训；假期针对全区教师开展教学能力和教科研能力提升专题培训，全区中小学幼儿园教师全员参训。</w:t>
      </w:r>
    </w:p>
    <w:p>
      <w:pPr>
        <w:keepNext w:val="0"/>
        <w:keepLines w:val="0"/>
        <w:pageBreakBefore w:val="0"/>
        <w:kinsoku/>
        <w:wordWrap/>
        <w:overflowPunct/>
        <w:topLinePunct w:val="0"/>
        <w:autoSpaceDE/>
        <w:autoSpaceDN/>
        <w:bidi w:val="0"/>
        <w:adjustRightInd/>
        <w:spacing w:line="560" w:lineRule="exact"/>
        <w:ind w:firstLine="594"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丰富学科活动，有效提升教师水平</w:t>
      </w:r>
      <w:r>
        <w:rPr>
          <w:rFonts w:hint="eastAsia" w:ascii="仿宋_GB2312" w:hAnsi="仿宋_GB2312" w:eastAsia="仿宋_GB2312" w:cs="仿宋_GB2312"/>
          <w:b w:val="0"/>
          <w:bCs w:val="0"/>
          <w:sz w:val="32"/>
          <w:szCs w:val="32"/>
        </w:rPr>
        <w:t>。开展呈贡区第四届中小学幼儿园教师优质课赛，318名教师参加了区级决赛，106名教师分别获奖；2021年开展2次呈贡区命题竞赛，共计</w:t>
      </w:r>
      <w:r>
        <w:rPr>
          <w:rFonts w:hint="eastAsia" w:ascii="仿宋_GB2312" w:hAnsi="仿宋_GB2312" w:eastAsia="仿宋_GB2312" w:cs="仿宋_GB2312"/>
          <w:b w:val="0"/>
          <w:bCs w:val="0"/>
          <w:sz w:val="32"/>
          <w:szCs w:val="32"/>
          <w:lang w:val="en-US" w:eastAsia="zh-CN"/>
        </w:rPr>
        <w:t>435</w:t>
      </w:r>
      <w:r>
        <w:rPr>
          <w:rFonts w:hint="eastAsia" w:ascii="仿宋_GB2312" w:hAnsi="仿宋_GB2312" w:eastAsia="仿宋_GB2312" w:cs="仿宋_GB2312"/>
          <w:b w:val="0"/>
          <w:bCs w:val="0"/>
          <w:sz w:val="32"/>
          <w:szCs w:val="32"/>
        </w:rPr>
        <w:t>套试题参评</w:t>
      </w:r>
      <w:r>
        <w:rPr>
          <w:rFonts w:hint="eastAsia" w:ascii="仿宋_GB2312" w:hAnsi="仿宋_GB2312" w:eastAsia="仿宋_GB2312" w:cs="仿宋_GB2312"/>
          <w:b w:val="0"/>
          <w:bCs w:val="0"/>
          <w:sz w:val="32"/>
          <w:szCs w:val="32"/>
          <w:lang w:val="en-US" w:eastAsia="zh-CN"/>
        </w:rPr>
        <w:t>165</w:t>
      </w:r>
      <w:r>
        <w:rPr>
          <w:rFonts w:hint="eastAsia" w:ascii="仿宋_GB2312" w:hAnsi="仿宋_GB2312" w:eastAsia="仿宋_GB2312" w:cs="仿宋_GB2312"/>
          <w:b w:val="0"/>
          <w:bCs w:val="0"/>
          <w:sz w:val="32"/>
          <w:szCs w:val="32"/>
        </w:rPr>
        <w:t>套试卷获奖；推荐、指导11人参加市、省、国家级竞赛获奖；引导一线教师总结提炼教育教学经验，从全区各中小学幼儿园151份论文和案例中评选出40份参加昆明市2021年优秀教育教学评选；组织参加昆明市第九届互动课堂教学课例大赛，推荐40节课例参加市级评选。10月份全区共收到1300余篇教育教学论文，经评委评审后将1049篇优质论文推荐参加云南省教学论文竞赛。</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抓实名师工作室工作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带动区域教科研发展。2021年初下发区级名师工作室推评通知，鼓励各校管理者和教师积极申报，承担名长基地和名师工作室任务，培养学科教师和后备干部。经评审评选出从学前到高中，涉及思政、语文、数学、体育、科学等学科的2021年呈贡区名师工作室主持人10名</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进行了授牌，各工作室开始正常活动。加强了原有33个名师工作室主题活动、日常培训管理。2021年3月对任期内33个名师工作室2020年度工作开展情况开展考核，督促各工作室认真开展活动，各工作室按工作室工作计划开展面向全区公开的活动34次，参加人数1100余人。对平时工作室的公开活动、经费使用、外出工作等工作进行管理，2021年各工作室参加活动人数7501人，其中面向区级的活动人数为2830人。</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聚焦课题研究的规范管理和全程指导，加强教育科研能力建设。指导学校（幼儿园）申报2021年度全国教育科研课题共计5项。对40个区级在研课题和6个“昆明市七年级质量监测案例研究”进行了中期指导，共计开展专题研讨活动12次；督促3个立项的“2020年度云南省教育科学规划基础教育专项课题”开展了开题论证工作，430名中小学、幼儿园教师参加了专题讲座和课题培训。完成了昆明市“十三五”第三批6个课题结题鉴定后的修改指导工作，及时上报了结题材料；修改完善了呈贡区2018年12个课题结题鉴定意见书，发放了结题证书；指导2020年呈贡区25个区级课题的开题论证报告进行二次修改完善；指导学校申报昆明市“十四五”第一批教育科研课题，共征集到课题283个，市级评审立项4</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个，区级评审拟立项</w:t>
      </w:r>
      <w:r>
        <w:rPr>
          <w:rFonts w:hint="eastAsia" w:ascii="仿宋_GB2312" w:hAnsi="仿宋_GB2312" w:eastAsia="仿宋_GB2312" w:cs="仿宋_GB2312"/>
          <w:b w:val="0"/>
          <w:bCs w:val="0"/>
          <w:sz w:val="32"/>
          <w:szCs w:val="32"/>
          <w:lang w:val="en-US" w:eastAsia="zh-CN"/>
        </w:rPr>
        <w:t>56</w:t>
      </w:r>
      <w:r>
        <w:rPr>
          <w:rFonts w:hint="eastAsia" w:ascii="仿宋_GB2312" w:hAnsi="仿宋_GB2312" w:eastAsia="仿宋_GB2312" w:cs="仿宋_GB2312"/>
          <w:b w:val="0"/>
          <w:bCs w:val="0"/>
          <w:sz w:val="32"/>
          <w:szCs w:val="32"/>
        </w:rPr>
        <w:t>个。</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有效</w:t>
      </w:r>
      <w:r>
        <w:rPr>
          <w:rFonts w:hint="eastAsia" w:ascii="仿宋_GB2312" w:hAnsi="仿宋_GB2312" w:eastAsia="仿宋_GB2312" w:cs="仿宋_GB2312"/>
          <w:b w:val="0"/>
          <w:bCs w:val="0"/>
          <w:sz w:val="32"/>
          <w:szCs w:val="32"/>
        </w:rPr>
        <w:t>落实常规研训工作，夯实研训基础。严格执行教研员每周二至五下校推门指导听课，抓实对学校幼儿园和教师日常教育教学的督促和指导；指导好学校幼儿园校本培训和自主教研活动的开展；完成对360余名中小幼儿园新教师的年度考核。完成2021学年全区各中小学幼儿园校本培训学时认定工作。丰富学前教育课程资源。组织区内10所公民办幼儿园参加《云南省幼儿园一日活动教师指导用书》编写工作，共计开发出26个教学设计。</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完善教育质量监测体系</w:t>
      </w:r>
      <w:r>
        <w:rPr>
          <w:rFonts w:hint="eastAsia" w:ascii="仿宋_GB2312" w:hAnsi="仿宋_GB2312" w:eastAsia="仿宋_GB2312" w:cs="仿宋_GB2312"/>
          <w:b w:val="0"/>
          <w:bCs w:val="0"/>
          <w:sz w:val="32"/>
          <w:szCs w:val="32"/>
          <w:lang w:eastAsia="zh-CN"/>
        </w:rPr>
        <w:t>，为有效提高教育教学质量服务</w:t>
      </w:r>
      <w:r>
        <w:rPr>
          <w:rFonts w:hint="eastAsia" w:ascii="仿宋_GB2312" w:hAnsi="仿宋_GB2312" w:eastAsia="仿宋_GB2312" w:cs="仿宋_GB2312"/>
          <w:b w:val="0"/>
          <w:bCs w:val="0"/>
          <w:sz w:val="32"/>
          <w:szCs w:val="32"/>
        </w:rPr>
        <w:t>。一是强化教考研相结合的义务教育阶段质量检测研究。组织名师工作室优秀教师命制了2020-2021学年上、下学期学业水平检测试卷，全区学生参加了考试，教师参加阅卷和质量分析工作，形成教学、教研、考测一体的格局。二是加强对高三“三诊测一模拟”的管理。组织区内9所公民办高中参加了6次省、市高三统测及体育艺术类模拟考试工作，全区所有学生参加了测试，290多名教师参加了质量分析研讨活动，及时向毕业班级师生传达考试动态和最新信息，引导全区高中学校形成凝心聚力、专心备考的氛围。三是加强高中质量教育管理。组织全区学校所有学生参加2021年昆明市高一、高二年级期末统测。四是建立中考区级模拟监测和校际教育质量监测联动机制。充分运用命题竞赛结果遴选、组合区级模拟监测试卷，进行区级中考模拟考试。组织区内公民办初中学校参加了昆三中2021年中考模拟校际联考、成绩统计和质量分析工作，为各校中考备考奠定了基础。五是积极配合国家、市义务教育质量监测工作，发挥监测工作的诊断功能，为教育改革与教育教学实践提供决策咨询和指导。</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宋体"/>
          <w:color w:val="000000" w:themeColor="text1"/>
          <w:szCs w:val="32"/>
          <w14:textFill>
            <w14:solidFill>
              <w14:schemeClr w14:val="tx1"/>
            </w14:solidFill>
          </w14:textFill>
        </w:rPr>
      </w:pPr>
      <w:r>
        <w:rPr>
          <w:rFonts w:hint="eastAsia" w:ascii="仿宋_GB2312" w:hAnsi="仿宋_GB2312" w:cs="仿宋_GB2312"/>
          <w:szCs w:val="32"/>
        </w:rPr>
        <w:t>教育信息中心积极开</w:t>
      </w:r>
      <w:r>
        <w:rPr>
          <w:rFonts w:hint="eastAsia" w:ascii="仿宋_GB2312" w:hAnsi="仿宋_GB2312" w:cs="仿宋_GB2312"/>
          <w:szCs w:val="32"/>
          <w:lang w:val="en-US" w:eastAsia="zh-CN"/>
        </w:rPr>
        <w:t>展中小学幼儿园各项学科教研活动、课题研究、研训人员能力提升。2021年教师培训经费年初安排506万元，因疫情原因部分研训活动无法正常开展，预算调减72万，2021年年末使用教师培训费用430.15万元；资金使用明细为：</w:t>
      </w:r>
      <w:r>
        <w:rPr>
          <w:rFonts w:hint="eastAsia" w:ascii="仿宋_GB2312" w:hAnsi="仿宋_GB2312" w:cs="仿宋_GB2312"/>
          <w:color w:val="000000" w:themeColor="text1"/>
          <w:szCs w:val="32"/>
          <w:lang w:val="en-US" w:eastAsia="zh-CN"/>
          <w14:textFill>
            <w14:solidFill>
              <w14:schemeClr w14:val="tx1"/>
            </w14:solidFill>
          </w14:textFill>
        </w:rPr>
        <w:t>核拨云大附中呈贡校区、师大附小呈贡校区、师专附小呈贡海岸城分校、呈贡区</w:t>
      </w:r>
      <w:r>
        <w:rPr>
          <w:rFonts w:hint="eastAsia" w:ascii="仿宋_GB2312" w:hAnsi="仿宋_GB2312" w:cs="仿宋_GB2312"/>
          <w:color w:val="000000" w:themeColor="text1"/>
          <w:szCs w:val="32"/>
          <w:lang w:eastAsia="zh-CN"/>
          <w14:textFill>
            <w14:solidFill>
              <w14:schemeClr w14:val="tx1"/>
            </w14:solidFill>
          </w14:textFill>
        </w:rPr>
        <w:t>第二幼儿园等</w:t>
      </w:r>
      <w:r>
        <w:rPr>
          <w:rFonts w:hint="eastAsia" w:ascii="仿宋_GB2312" w:hAnsi="仿宋_GB2312" w:cs="仿宋_GB2312"/>
          <w:color w:val="000000" w:themeColor="text1"/>
          <w:szCs w:val="32"/>
          <w:lang w:val="en-US" w:eastAsia="zh-CN"/>
          <w14:textFill>
            <w14:solidFill>
              <w14:schemeClr w14:val="tx1"/>
            </w14:solidFill>
          </w14:textFill>
        </w:rPr>
        <w:t>41个名师工作室</w:t>
      </w:r>
      <w:r>
        <w:rPr>
          <w:rFonts w:hint="eastAsia" w:ascii="仿宋_GB2312" w:hAnsi="仿宋_GB2312" w:cs="仿宋_GB2312"/>
          <w:color w:val="000000" w:themeColor="text1"/>
          <w:szCs w:val="32"/>
          <w:lang w:eastAsia="zh-CN"/>
          <w14:textFill>
            <w14:solidFill>
              <w14:schemeClr w14:val="tx1"/>
            </w14:solidFill>
          </w14:textFill>
        </w:rPr>
        <w:t>202</w:t>
      </w:r>
      <w:r>
        <w:rPr>
          <w:rFonts w:hint="eastAsia" w:ascii="仿宋_GB2312" w:hAnsi="仿宋_GB2312" w:cs="仿宋_GB2312"/>
          <w:color w:val="000000" w:themeColor="text1"/>
          <w:szCs w:val="32"/>
          <w:lang w:val="en-US" w:eastAsia="zh-CN"/>
          <w14:textFill>
            <w14:solidFill>
              <w14:schemeClr w14:val="tx1"/>
            </w14:solidFill>
          </w14:textFill>
        </w:rPr>
        <w:t>1</w:t>
      </w:r>
      <w:r>
        <w:rPr>
          <w:rFonts w:hint="eastAsia" w:ascii="仿宋_GB2312" w:hAnsi="仿宋_GB2312" w:cs="仿宋_GB2312"/>
          <w:color w:val="000000" w:themeColor="text1"/>
          <w:szCs w:val="32"/>
          <w:lang w:eastAsia="zh-CN"/>
          <w14:textFill>
            <w14:solidFill>
              <w14:schemeClr w14:val="tx1"/>
            </w14:solidFill>
          </w14:textFill>
        </w:rPr>
        <w:t>年度名师工作室区级经费2</w:t>
      </w:r>
      <w:r>
        <w:rPr>
          <w:rFonts w:hint="eastAsia" w:ascii="仿宋_GB2312" w:hAnsi="仿宋_GB2312" w:cs="仿宋_GB2312"/>
          <w:color w:val="000000" w:themeColor="text1"/>
          <w:szCs w:val="32"/>
          <w:lang w:val="en-US" w:eastAsia="zh-CN"/>
          <w14:textFill>
            <w14:solidFill>
              <w14:schemeClr w14:val="tx1"/>
            </w14:solidFill>
          </w14:textFill>
        </w:rPr>
        <w:t>8</w:t>
      </w:r>
      <w:r>
        <w:rPr>
          <w:rFonts w:hint="eastAsia" w:ascii="仿宋_GB2312" w:hAnsi="仿宋_GB2312" w:cs="仿宋_GB2312"/>
          <w:color w:val="000000" w:themeColor="text1"/>
          <w:szCs w:val="32"/>
          <w:lang w:eastAsia="zh-CN"/>
          <w14:textFill>
            <w14:solidFill>
              <w14:schemeClr w14:val="tx1"/>
            </w14:solidFill>
          </w14:textFill>
        </w:rPr>
        <w:t>0万元；杨莉、肖唐娜名师工作室经费支出</w:t>
      </w:r>
      <w:r>
        <w:rPr>
          <w:rFonts w:hint="eastAsia" w:ascii="仿宋_GB2312" w:hAnsi="仿宋_GB2312" w:cs="仿宋_GB2312"/>
          <w:color w:val="000000" w:themeColor="text1"/>
          <w:szCs w:val="32"/>
          <w:lang w:val="en-US" w:eastAsia="zh-CN"/>
          <w14:textFill>
            <w14:solidFill>
              <w14:schemeClr w14:val="tx1"/>
            </w14:solidFill>
          </w14:textFill>
        </w:rPr>
        <w:t>6.04万元，拨昆明市第三中学、昆明市呈贡区第一小学等14所中小学、幼儿园教师培训经费91.5万元，拨西南联大研究院附属学校周杰名校长基地培训经费16万元元，开展区级教师研训及监测工作经费36.61万元。合计430.15元</w:t>
      </w:r>
      <w:r>
        <w:rPr>
          <w:rFonts w:hint="eastAsia" w:ascii="仿宋_GB2312" w:hAnsi="仿宋_GB2312" w:cs="仿宋_GB2312"/>
          <w:color w:val="auto"/>
          <w:szCs w:val="32"/>
        </w:rPr>
        <w:t>。</w:t>
      </w:r>
      <w:r>
        <w:rPr>
          <w:rFonts w:hint="eastAsia" w:ascii="仿宋_GB2312"/>
          <w:color w:val="000000" w:themeColor="text1"/>
          <w:szCs w:val="32"/>
          <w14:textFill>
            <w14:solidFill>
              <w14:schemeClr w14:val="tx1"/>
            </w14:solidFill>
          </w14:textFill>
        </w:rPr>
        <w:t>20</w:t>
      </w:r>
      <w:r>
        <w:rPr>
          <w:rFonts w:hint="eastAsia" w:ascii="仿宋_GB2312"/>
          <w:color w:val="000000" w:themeColor="text1"/>
          <w:szCs w:val="32"/>
          <w:lang w:val="en-US" w:eastAsia="zh-CN"/>
          <w14:textFill>
            <w14:solidFill>
              <w14:schemeClr w14:val="tx1"/>
            </w14:solidFill>
          </w14:textFill>
        </w:rPr>
        <w:t>21</w:t>
      </w:r>
      <w:r>
        <w:rPr>
          <w:rFonts w:hint="eastAsia" w:ascii="仿宋_GB2312"/>
          <w:color w:val="000000" w:themeColor="text1"/>
          <w:szCs w:val="32"/>
          <w14:textFill>
            <w14:solidFill>
              <w14:schemeClr w14:val="tx1"/>
            </w14:solidFill>
          </w14:textFill>
        </w:rPr>
        <w:t>年部门项目支出资金按预算批文及时到账，按财务及财经法规进行资金的管理，做到专款专用。</w:t>
      </w:r>
      <w:r>
        <w:rPr>
          <w:rFonts w:hint="eastAsia" w:ascii="仿宋_GB2312" w:hAnsi="宋体"/>
          <w:color w:val="000000" w:themeColor="text1"/>
          <w:szCs w:val="32"/>
          <w14:textFill>
            <w14:solidFill>
              <w14:schemeClr w14:val="tx1"/>
            </w14:solidFill>
          </w14:textFill>
        </w:rPr>
        <w:t>年底做好绩效相关工作，及时根据上级部门文件进行绩效的公开，接受社会公众的监督。</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cs="仿宋_GB2312"/>
          <w:b w:val="0"/>
          <w:bCs w:val="0"/>
          <w:szCs w:val="32"/>
          <w:lang w:eastAsia="zh-CN"/>
        </w:rPr>
      </w:pPr>
      <w:r>
        <w:rPr>
          <w:rFonts w:hint="eastAsia" w:ascii="仿宋_GB2312" w:hAnsi="仿宋_GB2312" w:eastAsia="仿宋_GB2312" w:cs="仿宋_GB2312"/>
          <w:b w:val="0"/>
          <w:bCs w:val="0"/>
          <w:szCs w:val="32"/>
        </w:rPr>
        <w:t>工作组做好</w:t>
      </w:r>
      <w:r>
        <w:rPr>
          <w:rFonts w:hint="eastAsia" w:ascii="仿宋_GB2312" w:hAnsi="仿宋_GB2312" w:cs="仿宋_GB2312"/>
          <w:b w:val="0"/>
          <w:bCs w:val="0"/>
          <w:szCs w:val="32"/>
          <w:lang w:eastAsia="zh-CN"/>
        </w:rPr>
        <w:t>教师研训</w:t>
      </w:r>
      <w:r>
        <w:rPr>
          <w:rFonts w:hint="eastAsia" w:ascii="仿宋_GB2312" w:hAnsi="仿宋_GB2312" w:eastAsia="仿宋_GB2312" w:cs="仿宋_GB2312"/>
          <w:b w:val="0"/>
          <w:bCs w:val="0"/>
          <w:szCs w:val="32"/>
        </w:rPr>
        <w:t>工作前期调研，充分了解相关情况，并明确评价工作的方式方法，收集查阅与评价项目有关的政策，如专项资金管理办法。搜集与评价项目有关的法律、法规和制度，项目立项申报有关资料，项目预算申报书，专项资金管理办法，行业标准等。</w:t>
      </w:r>
      <w:r>
        <w:rPr>
          <w:rFonts w:hint="eastAsia" w:ascii="仿宋_GB2312" w:hAnsi="仿宋_GB2312" w:eastAsia="仿宋_GB2312" w:cs="仿宋_GB2312"/>
          <w:b w:val="0"/>
          <w:bCs w:val="0"/>
          <w:color w:val="000000"/>
          <w:kern w:val="0"/>
          <w:szCs w:val="32"/>
        </w:rPr>
        <w:t>按质、按量、按时、完成各项培训计划，</w:t>
      </w:r>
      <w:r>
        <w:rPr>
          <w:rFonts w:hint="eastAsia" w:ascii="仿宋_GB2312" w:hAnsi="仿宋_GB2312" w:eastAsia="仿宋_GB2312" w:cs="仿宋_GB2312"/>
          <w:b w:val="0"/>
          <w:bCs w:val="0"/>
          <w:szCs w:val="32"/>
        </w:rPr>
        <w:t>中小学幼儿园教师全员参训，收获效果明显；提升教学水平，提高了中小学幼儿园教师的素质，师生共享优质教学资源；教师研训工作受到了广大教师的欢迎和支持，引领中小学幼儿园教师培训学习，研究教学，实现人人参与，人人收获，教师培训工作受到了广大教师的欢迎和支持，收获效果明显。预算执行进度按要求在各时间节点达到预算执行进度的目标</w:t>
      </w:r>
      <w:r>
        <w:rPr>
          <w:rFonts w:hint="eastAsia" w:ascii="仿宋_GB2312" w:hAnsi="仿宋_GB2312" w:cs="仿宋_GB2312"/>
          <w:b w:val="0"/>
          <w:bCs w:val="0"/>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四、项目绩效情况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遵循“实事求是、统筹安排、合理规划”的原则进行项目支出绩效的管理；实行规范操作、动态监督，年终把关，对项目支出绩效管理工作的内容和质量情况进行职责分工监管，有效推进项目支出绩效管理工作难点，突出绩效管理工作的操作性。计划，合理、安全、高效使用财政资金，按要求在各时间节点达到项目支出绩效的目标，确保项目支出绩效符合客观实际。做深做细绩效评价管理工作，确保数据的准确，按质按量报送数据和相关资料；在上级业务主管部门的指导下更好的完成项目支出绩效工作。 </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eastAsia="zh-CN"/>
        </w:rPr>
      </w:pPr>
      <w:r>
        <w:rPr>
          <w:rFonts w:hint="eastAsia" w:ascii="仿宋_GB2312"/>
          <w:szCs w:val="32"/>
          <w:lang w:eastAsia="zh-CN"/>
        </w:rPr>
        <w:t>教师培训经费年初预算按照教育附加费的5%和教育系统工资总额的2%结合工作计划开展预算。立项充分，严格按照专项资金管理办法列支，资金专款专用，合理规范，资金分配合理、无滞留闲置、违规截留等不规范情况，拨付及时，但因项目人员流动在资金使用上偶尔存在不及时的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lang w:eastAsia="zh-CN"/>
        </w:rPr>
      </w:pPr>
      <w:r>
        <w:rPr>
          <w:rFonts w:hint="eastAsia" w:ascii="楷体_GB2312" w:hAnsi="Calibri" w:eastAsia="楷体_GB2312" w:cs="Times New Roman"/>
          <w:szCs w:val="22"/>
          <w:lang w:eastAsia="zh-CN"/>
        </w:rPr>
        <w:t>（一）后续工作计划</w:t>
      </w:r>
    </w:p>
    <w:p>
      <w:pPr>
        <w:keepNext w:val="0"/>
        <w:keepLines w:val="0"/>
        <w:pageBreakBefore w:val="0"/>
        <w:widowControl w:val="0"/>
        <w:kinsoku/>
        <w:wordWrap/>
        <w:overflowPunct/>
        <w:autoSpaceDE/>
        <w:autoSpaceDN/>
        <w:bidi w:val="0"/>
        <w:adjustRightInd/>
        <w:snapToGrid/>
        <w:spacing w:line="560" w:lineRule="atLeast"/>
        <w:ind w:firstLine="594" w:firstLineChars="200"/>
        <w:textAlignment w:val="auto"/>
        <w:rPr>
          <w:rFonts w:hint="eastAsia" w:ascii="仿宋_GB2312" w:hAnsi="仿宋_GB2312" w:cs="仿宋_GB2312"/>
          <w:b w:val="0"/>
          <w:bCs w:val="0"/>
          <w:szCs w:val="32"/>
          <w:lang w:eastAsia="zh-CN"/>
        </w:rPr>
      </w:pPr>
      <w:r>
        <w:rPr>
          <w:rFonts w:hint="eastAsia" w:ascii="仿宋_GB2312" w:hAnsi="仿宋_GB2312" w:cs="仿宋_GB2312"/>
          <w:b w:val="0"/>
          <w:bCs w:val="0"/>
          <w:szCs w:val="32"/>
          <w:lang w:eastAsia="zh-CN"/>
        </w:rPr>
        <w:t>今后工作将严格按照教师培训计划有序开展。</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lang w:eastAsia="zh-CN"/>
        </w:rPr>
      </w:pPr>
      <w:r>
        <w:rPr>
          <w:rFonts w:hint="eastAsia" w:ascii="楷体_GB2312" w:hAnsi="Calibri" w:eastAsia="楷体_GB2312" w:cs="Times New Roman"/>
          <w:szCs w:val="22"/>
          <w:lang w:eastAsia="zh-CN"/>
        </w:rPr>
        <w:t>（二）主要经验做法、改进措施和有关建议</w:t>
      </w:r>
    </w:p>
    <w:p>
      <w:pPr>
        <w:keepNext w:val="0"/>
        <w:keepLines w:val="0"/>
        <w:pageBreakBefore w:val="0"/>
        <w:widowControl w:val="0"/>
        <w:kinsoku/>
        <w:wordWrap/>
        <w:overflowPunct/>
        <w:topLinePunct w:val="0"/>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rPr>
        <w:t>财政预算资金支出绩效评价工作的开展，大大提高了资金的使用效率，促进各项工作的发展，但因新形势下的财务制度及从业人员的业务要求还有一定的差距，建议加强财务管理人员及财务人员的培训，不断提高业务素质，建立一支适应新形势财务制度下的财务人员队伍。</w:t>
      </w:r>
    </w:p>
    <w:p>
      <w:pPr>
        <w:pStyle w:val="2"/>
        <w:ind w:left="0" w:leftChars="0" w:firstLine="0" w:firstLineChars="0"/>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9CF6571"/>
    <w:rsid w:val="13FB2FEF"/>
    <w:rsid w:val="15D420F4"/>
    <w:rsid w:val="194B7296"/>
    <w:rsid w:val="1ED14295"/>
    <w:rsid w:val="21AD089D"/>
    <w:rsid w:val="23CA115A"/>
    <w:rsid w:val="243932FC"/>
    <w:rsid w:val="2A9C5BA4"/>
    <w:rsid w:val="2F21212A"/>
    <w:rsid w:val="313272D2"/>
    <w:rsid w:val="33AD5E70"/>
    <w:rsid w:val="378A5996"/>
    <w:rsid w:val="382713AA"/>
    <w:rsid w:val="3B145AF3"/>
    <w:rsid w:val="3D751EF2"/>
    <w:rsid w:val="3E24016E"/>
    <w:rsid w:val="41C17040"/>
    <w:rsid w:val="4BCE3E45"/>
    <w:rsid w:val="519D500C"/>
    <w:rsid w:val="5A3C6978"/>
    <w:rsid w:val="60064A85"/>
    <w:rsid w:val="62C3160B"/>
    <w:rsid w:val="63BE5566"/>
    <w:rsid w:val="670769EA"/>
    <w:rsid w:val="67600811"/>
    <w:rsid w:val="68A1436C"/>
    <w:rsid w:val="6F3433A4"/>
    <w:rsid w:val="703E43FA"/>
    <w:rsid w:val="72A35F21"/>
    <w:rsid w:val="74286545"/>
    <w:rsid w:val="75552A8D"/>
    <w:rsid w:val="776C4F60"/>
    <w:rsid w:val="77957E07"/>
    <w:rsid w:val="78586FD7"/>
    <w:rsid w:val="78EC2E1F"/>
    <w:rsid w:val="79B155B6"/>
    <w:rsid w:val="7D802815"/>
    <w:rsid w:val="7D8B683E"/>
    <w:rsid w:val="7EED7441"/>
    <w:rsid w:val="7F5A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dcterms:modified xsi:type="dcterms:W3CDTF">2022-09-27T11:19:09Z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6BAC7DEFD3654361B4B6236DE401C988</vt:lpwstr>
  </property>
</Properties>
</file>