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 xml:space="preserve">昆明市呈贡区教育体育发展综合服务中心 </w:t>
      </w:r>
    </w:p>
    <w:p>
      <w:pPr>
        <w:adjustRightInd w:val="0"/>
        <w:snapToGrid w:val="0"/>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关于云南衡水呈贡实验中学教师住房补助</w:t>
      </w:r>
    </w:p>
    <w:p>
      <w:pPr>
        <w:adjustRightInd w:val="0"/>
        <w:snapToGrid w:val="0"/>
        <w:spacing w:line="560" w:lineRule="exact"/>
        <w:jc w:val="center"/>
        <w:rPr>
          <w:rFonts w:hint="eastAsia" w:ascii="方正小标宋简体" w:hAnsi="Times New Roman" w:eastAsia="方正小标宋简体"/>
          <w:sz w:val="44"/>
          <w:szCs w:val="44"/>
        </w:rPr>
      </w:pPr>
      <w:r>
        <w:rPr>
          <w:rFonts w:hint="eastAsia" w:ascii="方正小标宋简体" w:hAnsi="方正小标宋简体" w:eastAsia="方正小标宋简体"/>
          <w:sz w:val="44"/>
          <w:szCs w:val="44"/>
        </w:rPr>
        <w:t>项目支出绩效报告</w:t>
      </w:r>
    </w:p>
    <w:p>
      <w:pPr>
        <w:adjustRightInd w:val="0"/>
        <w:snapToGrid w:val="0"/>
        <w:spacing w:line="560" w:lineRule="exact"/>
        <w:ind w:firstLine="593"/>
        <w:rPr>
          <w:rFonts w:ascii="Times New Roman" w:hAnsi="Times New Roman" w:eastAsia="黑体"/>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Cs w:val="32"/>
        </w:rPr>
      </w:pPr>
      <w:r>
        <w:rPr>
          <w:rFonts w:ascii="黑体" w:hAnsi="黑体" w:eastAsia="黑体"/>
          <w:szCs w:val="32"/>
          <w:shd w:val="clear" w:color="auto" w:fill="FFFFFF"/>
        </w:rPr>
        <w:t>一、</w:t>
      </w:r>
      <w:r>
        <w:rPr>
          <w:rFonts w:hint="eastAsia" w:ascii="黑体" w:hAnsi="黑体" w:eastAsia="黑体"/>
          <w:szCs w:val="32"/>
          <w:shd w:val="clear" w:color="auto" w:fill="FFFFFF"/>
        </w:rPr>
        <w:t>项目</w:t>
      </w:r>
      <w:r>
        <w:rPr>
          <w:rFonts w:ascii="黑体" w:hAnsi="黑体" w:eastAsia="黑体"/>
          <w:szCs w:val="32"/>
          <w:shd w:val="clear" w:color="auto" w:fill="FFFFFF"/>
        </w:rPr>
        <w:t>基本情况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Calibri" w:eastAsia="楷体_GB2312" w:cs="Times New Roman"/>
          <w:kern w:val="2"/>
          <w:szCs w:val="22"/>
        </w:rPr>
      </w:pPr>
      <w:r>
        <w:rPr>
          <w:rFonts w:hint="eastAsia" w:ascii="楷体_GB2312" w:hAnsi="Calibri" w:eastAsia="楷体_GB2312" w:cs="Times New Roman"/>
          <w:kern w:val="2"/>
          <w:szCs w:val="22"/>
        </w:rPr>
        <w:t>（一）项目概况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szCs w:val="32"/>
          <w:shd w:val="clear" w:color="auto" w:fill="FFFFFF"/>
        </w:rPr>
      </w:pPr>
      <w:r>
        <w:rPr>
          <w:rFonts w:ascii="Times New Roman" w:hAnsi="仿宋_GB2312"/>
          <w:szCs w:val="32"/>
          <w:shd w:val="clear" w:color="auto" w:fill="FFFFFF"/>
        </w:rPr>
        <w:t>为适应呈贡区经济社会发展需要，进一步增强呈贡区的服务配套功能，提升区内教育竞争力，办好人民满意的教育，充分发挥优质教育资源的资源优势和品牌效应，本着</w:t>
      </w:r>
      <w:r>
        <w:rPr>
          <w:rFonts w:ascii="Times New Roman" w:hAnsi="Times New Roman"/>
          <w:szCs w:val="32"/>
          <w:shd w:val="clear" w:color="auto" w:fill="FFFFFF"/>
        </w:rPr>
        <w:t>“</w:t>
      </w:r>
      <w:r>
        <w:rPr>
          <w:rFonts w:ascii="Times New Roman" w:hAnsi="仿宋_GB2312"/>
          <w:szCs w:val="32"/>
          <w:shd w:val="clear" w:color="auto" w:fill="FFFFFF"/>
        </w:rPr>
        <w:t>加强合作，优势互补，互利互惠</w:t>
      </w:r>
      <w:r>
        <w:rPr>
          <w:rFonts w:ascii="Times New Roman" w:hAnsi="Times New Roman"/>
          <w:szCs w:val="32"/>
          <w:shd w:val="clear" w:color="auto" w:fill="FFFFFF"/>
        </w:rPr>
        <w:t>”</w:t>
      </w:r>
      <w:r>
        <w:rPr>
          <w:rFonts w:ascii="Times New Roman" w:hAnsi="仿宋_GB2312"/>
          <w:szCs w:val="32"/>
          <w:shd w:val="clear" w:color="auto" w:fill="FFFFFF"/>
        </w:rPr>
        <w:t>的原则，</w:t>
      </w:r>
      <w:r>
        <w:rPr>
          <w:rFonts w:ascii="Times New Roman" w:hAnsi="Times New Roman"/>
          <w:szCs w:val="32"/>
          <w:shd w:val="clear" w:color="auto" w:fill="FFFFFF"/>
        </w:rPr>
        <w:t>2015</w:t>
      </w:r>
      <w:r>
        <w:rPr>
          <w:rFonts w:ascii="Times New Roman" w:hAnsi="仿宋_GB2312"/>
          <w:szCs w:val="32"/>
          <w:shd w:val="clear" w:color="auto" w:fill="FFFFFF"/>
        </w:rPr>
        <w:t>年呈贡区人民政府与云南长水教育投资有限公司合作创办云南衡水呈贡实验中学。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szCs w:val="32"/>
          <w:shd w:val="clear" w:color="auto" w:fill="FFFFFF"/>
        </w:rPr>
      </w:pPr>
      <w:r>
        <w:rPr>
          <w:rFonts w:ascii="Times New Roman" w:hAnsi="仿宋_GB2312"/>
          <w:szCs w:val="32"/>
          <w:shd w:val="clear" w:color="auto" w:fill="FFFFFF"/>
        </w:rPr>
        <w:t>为支持学校建设与发展，合作双方在《合作办学协议》中约定：根据乙方</w:t>
      </w:r>
      <w:r>
        <w:rPr>
          <w:rFonts w:ascii="Times New Roman" w:hAnsi="Times New Roman"/>
          <w:szCs w:val="32"/>
          <w:shd w:val="clear" w:color="auto" w:fill="FFFFFF"/>
        </w:rPr>
        <w:t>(</w:t>
      </w:r>
      <w:r>
        <w:rPr>
          <w:rFonts w:ascii="Times New Roman" w:hAnsi="仿宋_GB2312"/>
          <w:szCs w:val="32"/>
          <w:shd w:val="clear" w:color="auto" w:fill="FFFFFF"/>
        </w:rPr>
        <w:t>云南衡水呈贡实验中学</w:t>
      </w:r>
      <w:r>
        <w:rPr>
          <w:rFonts w:ascii="Times New Roman" w:hAnsi="Times New Roman"/>
          <w:szCs w:val="32"/>
          <w:shd w:val="clear" w:color="auto" w:fill="FFFFFF"/>
        </w:rPr>
        <w:t>)</w:t>
      </w:r>
      <w:r>
        <w:rPr>
          <w:rFonts w:ascii="Times New Roman" w:hAnsi="仿宋_GB2312"/>
          <w:szCs w:val="32"/>
          <w:shd w:val="clear" w:color="auto" w:fill="FFFFFF"/>
        </w:rPr>
        <w:t>教学特点，甲方</w:t>
      </w:r>
      <w:r>
        <w:rPr>
          <w:rFonts w:ascii="Times New Roman" w:hAnsi="Times New Roman"/>
          <w:szCs w:val="32"/>
          <w:shd w:val="clear" w:color="auto" w:fill="FFFFFF"/>
        </w:rPr>
        <w:t>(</w:t>
      </w:r>
      <w:r>
        <w:rPr>
          <w:rFonts w:ascii="Times New Roman" w:hAnsi="仿宋_GB2312"/>
          <w:szCs w:val="32"/>
          <w:shd w:val="clear" w:color="auto" w:fill="FFFFFF"/>
        </w:rPr>
        <w:t>呈贡区人民政府</w:t>
      </w:r>
      <w:r>
        <w:rPr>
          <w:rFonts w:ascii="Times New Roman" w:hAnsi="Times New Roman"/>
          <w:szCs w:val="32"/>
          <w:shd w:val="clear" w:color="auto" w:fill="FFFFFF"/>
        </w:rPr>
        <w:t>)</w:t>
      </w:r>
      <w:r>
        <w:rPr>
          <w:rFonts w:ascii="Times New Roman" w:hAnsi="仿宋_GB2312"/>
          <w:szCs w:val="32"/>
          <w:shd w:val="clear" w:color="auto" w:fill="FFFFFF"/>
        </w:rPr>
        <w:t>提供可容纳</w:t>
      </w:r>
      <w:r>
        <w:rPr>
          <w:rFonts w:ascii="Times New Roman" w:hAnsi="Times New Roman"/>
          <w:szCs w:val="32"/>
          <w:shd w:val="clear" w:color="auto" w:fill="FFFFFF"/>
        </w:rPr>
        <w:t>2000</w:t>
      </w:r>
      <w:r>
        <w:rPr>
          <w:rFonts w:ascii="Times New Roman" w:hAnsi="仿宋_GB2312"/>
          <w:szCs w:val="32"/>
          <w:shd w:val="clear" w:color="auto" w:fill="FFFFFF"/>
        </w:rPr>
        <w:t>名学生的学生公寓，并配备相应的餐厅。就近免费提供不少于</w:t>
      </w:r>
      <w:r>
        <w:rPr>
          <w:rFonts w:ascii="Times New Roman" w:hAnsi="Times New Roman"/>
          <w:szCs w:val="32"/>
          <w:shd w:val="clear" w:color="auto" w:fill="FFFFFF"/>
        </w:rPr>
        <w:t>48</w:t>
      </w:r>
      <w:r>
        <w:rPr>
          <w:rFonts w:ascii="Times New Roman" w:hAnsi="仿宋_GB2312"/>
          <w:szCs w:val="32"/>
          <w:shd w:val="clear" w:color="auto" w:fill="FFFFFF"/>
        </w:rPr>
        <w:t>套教职员工的配套住宅（</w:t>
      </w:r>
      <w:r>
        <w:rPr>
          <w:rFonts w:ascii="Times New Roman" w:hAnsi="Times New Roman"/>
          <w:szCs w:val="32"/>
          <w:shd w:val="clear" w:color="auto" w:fill="FFFFFF"/>
        </w:rPr>
        <w:t>60-80</w:t>
      </w:r>
      <w:r>
        <w:rPr>
          <w:rFonts w:ascii="Times New Roman" w:hAnsi="仿宋_GB2312"/>
          <w:szCs w:val="32"/>
          <w:shd w:val="clear" w:color="auto" w:fill="FFFFFF"/>
        </w:rPr>
        <w:t>平米）（仅供教师居住使用）。受现有办学条件限制，政府暂时无条件为学校提供</w:t>
      </w:r>
      <w:r>
        <w:rPr>
          <w:rFonts w:ascii="Times New Roman" w:hAnsi="Times New Roman"/>
          <w:szCs w:val="32"/>
          <w:shd w:val="clear" w:color="auto" w:fill="FFFFFF"/>
        </w:rPr>
        <w:t>48</w:t>
      </w:r>
      <w:r>
        <w:rPr>
          <w:rFonts w:ascii="Times New Roman" w:hAnsi="仿宋_GB2312"/>
          <w:szCs w:val="32"/>
          <w:shd w:val="clear" w:color="auto" w:fill="FFFFFF"/>
        </w:rPr>
        <w:t>套教职员工的配套住宅，为履行协议约定，因此将提供住宅实物改为货币补偿。按照</w:t>
      </w:r>
      <w:r>
        <w:rPr>
          <w:rFonts w:ascii="Times New Roman" w:hAnsi="Times New Roman"/>
          <w:szCs w:val="32"/>
          <w:shd w:val="clear" w:color="auto" w:fill="FFFFFF"/>
        </w:rPr>
        <w:t>“</w:t>
      </w:r>
      <w:r>
        <w:rPr>
          <w:rFonts w:ascii="Times New Roman" w:hAnsi="仿宋_GB2312"/>
          <w:szCs w:val="32"/>
          <w:shd w:val="clear" w:color="auto" w:fill="FFFFFF"/>
        </w:rPr>
        <w:t>每套</w:t>
      </w:r>
      <w:r>
        <w:rPr>
          <w:rFonts w:ascii="Times New Roman" w:hAnsi="Times New Roman"/>
          <w:szCs w:val="32"/>
          <w:shd w:val="clear" w:color="auto" w:fill="FFFFFF"/>
        </w:rPr>
        <w:t>12000</w:t>
      </w:r>
      <w:r>
        <w:rPr>
          <w:rFonts w:ascii="Times New Roman" w:hAnsi="仿宋_GB2312"/>
          <w:szCs w:val="32"/>
          <w:shd w:val="clear" w:color="auto" w:fill="FFFFFF"/>
        </w:rPr>
        <w:t>元／年，</w:t>
      </w:r>
      <w:r>
        <w:rPr>
          <w:rFonts w:ascii="Times New Roman" w:hAnsi="Times New Roman"/>
          <w:szCs w:val="32"/>
          <w:shd w:val="clear" w:color="auto" w:fill="FFFFFF"/>
        </w:rPr>
        <w:t>48</w:t>
      </w:r>
      <w:r>
        <w:rPr>
          <w:rFonts w:ascii="Times New Roman" w:hAnsi="仿宋_GB2312"/>
          <w:szCs w:val="32"/>
          <w:shd w:val="clear" w:color="auto" w:fill="FFFFFF"/>
        </w:rPr>
        <w:t>套</w:t>
      </w:r>
      <w:r>
        <w:rPr>
          <w:rFonts w:ascii="Times New Roman" w:hAnsi="Times New Roman"/>
          <w:szCs w:val="32"/>
          <w:shd w:val="clear" w:color="auto" w:fill="FFFFFF"/>
        </w:rPr>
        <w:t>”</w:t>
      </w:r>
      <w:r>
        <w:rPr>
          <w:rFonts w:ascii="Times New Roman" w:hAnsi="仿宋_GB2312"/>
          <w:szCs w:val="32"/>
          <w:shd w:val="clear" w:color="auto" w:fill="FFFFFF"/>
        </w:rPr>
        <w:t>的补助标准，</w:t>
      </w:r>
      <w:r>
        <w:rPr>
          <w:rFonts w:ascii="Times New Roman" w:hAnsi="Times New Roman"/>
          <w:szCs w:val="32"/>
          <w:shd w:val="clear" w:color="auto" w:fill="FFFFFF"/>
        </w:rPr>
        <w:t>20</w:t>
      </w:r>
      <w:r>
        <w:rPr>
          <w:rFonts w:hint="eastAsia" w:ascii="Times New Roman" w:hAnsi="Times New Roman"/>
          <w:szCs w:val="32"/>
          <w:shd w:val="clear" w:color="auto" w:fill="FFFFFF"/>
        </w:rPr>
        <w:t>21</w:t>
      </w:r>
      <w:r>
        <w:rPr>
          <w:rFonts w:ascii="Times New Roman" w:hAnsi="仿宋_GB2312"/>
          <w:szCs w:val="32"/>
          <w:shd w:val="clear" w:color="auto" w:fill="FFFFFF"/>
        </w:rPr>
        <w:t>年度呈贡区人民政府为云南衡水呈贡实验中学提供教师住房补助资金</w:t>
      </w:r>
      <w:r>
        <w:rPr>
          <w:rFonts w:ascii="Times New Roman" w:hAnsi="Times New Roman"/>
          <w:szCs w:val="32"/>
          <w:shd w:val="clear" w:color="auto" w:fill="FFFFFF"/>
        </w:rPr>
        <w:t>57.6</w:t>
      </w:r>
      <w:r>
        <w:rPr>
          <w:rFonts w:ascii="Times New Roman" w:hAnsi="仿宋_GB2312"/>
          <w:szCs w:val="32"/>
          <w:shd w:val="clear" w:color="auto" w:fill="FFFFFF"/>
        </w:rPr>
        <w:t>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Calibri" w:eastAsia="楷体_GB2312" w:cs="Times New Roman"/>
          <w:kern w:val="2"/>
          <w:szCs w:val="22"/>
        </w:rPr>
      </w:pPr>
      <w:r>
        <w:rPr>
          <w:rFonts w:hint="eastAsia" w:ascii="楷体_GB2312" w:hAnsi="Calibri" w:eastAsia="楷体_GB2312" w:cs="Times New Roman"/>
          <w:kern w:val="2"/>
          <w:szCs w:val="22"/>
        </w:rPr>
        <w:t>（二）项目绩效目标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szCs w:val="32"/>
          <w:shd w:val="clear" w:color="auto" w:fill="FFFFFF"/>
        </w:rPr>
      </w:pPr>
      <w:r>
        <w:rPr>
          <w:rFonts w:ascii="Times New Roman" w:hAnsi="仿宋_GB2312"/>
          <w:szCs w:val="32"/>
          <w:shd w:val="clear" w:color="auto" w:fill="FFFFFF"/>
        </w:rPr>
        <w:t>教师住房补助经费按时按量到位，有效保障了教师的生活需求，确保教师队伍稳定，保障学校教育教学工作正常开展，学校处于良性发展态势，助力提升区域教育优质化、均衡化发展，让人民群众可以接受更丰富、更满意的教育。</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Cs w:val="32"/>
          <w:shd w:val="clear" w:color="auto" w:fill="FFFFFF"/>
        </w:rPr>
      </w:pPr>
      <w:r>
        <w:rPr>
          <w:rFonts w:ascii="黑体" w:hAnsi="黑体" w:eastAsia="黑体"/>
          <w:szCs w:val="32"/>
          <w:shd w:val="clear" w:color="auto" w:fill="FFFFFF"/>
        </w:rPr>
        <w:t>二、项目</w:t>
      </w:r>
      <w:r>
        <w:rPr>
          <w:rFonts w:hint="eastAsia" w:ascii="黑体" w:hAnsi="黑体" w:eastAsia="黑体"/>
          <w:szCs w:val="32"/>
          <w:shd w:val="clear" w:color="auto" w:fill="FFFFFF"/>
        </w:rPr>
        <w:t>资金使用及管理</w:t>
      </w:r>
      <w:r>
        <w:rPr>
          <w:rFonts w:ascii="黑体" w:hAnsi="黑体" w:eastAsia="黑体"/>
          <w:szCs w:val="32"/>
          <w:shd w:val="clear" w:color="auto" w:fill="FFFFFF"/>
        </w:rPr>
        <w:t>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Times New Roman" w:hAnsi="Times New Roman"/>
          <w:szCs w:val="32"/>
          <w:shd w:val="clear" w:color="auto" w:fill="FFFFFF"/>
        </w:rPr>
      </w:pPr>
      <w:r>
        <w:rPr>
          <w:rFonts w:ascii="Times New Roman" w:hAnsi="仿宋_GB2312"/>
          <w:szCs w:val="32"/>
          <w:shd w:val="clear" w:color="auto" w:fill="FFFFFF"/>
        </w:rPr>
        <w:t>云南衡水呈贡实验中学教师住房补助项目年初进行预算，</w:t>
      </w:r>
      <w:r>
        <w:rPr>
          <w:rFonts w:ascii="Times New Roman" w:hAnsi="Times New Roman"/>
          <w:szCs w:val="32"/>
          <w:shd w:val="clear" w:color="auto" w:fill="FFFFFF"/>
        </w:rPr>
        <w:t>2019</w:t>
      </w:r>
      <w:r>
        <w:rPr>
          <w:rFonts w:ascii="Times New Roman" w:hAnsi="仿宋_GB2312"/>
          <w:szCs w:val="32"/>
          <w:shd w:val="clear" w:color="auto" w:fill="FFFFFF"/>
        </w:rPr>
        <w:t>年呈贡区财政安排云南衡水呈贡实验中学教师住房经费</w:t>
      </w:r>
      <w:r>
        <w:rPr>
          <w:rFonts w:ascii="Times New Roman" w:hAnsi="Times New Roman"/>
          <w:szCs w:val="32"/>
          <w:shd w:val="clear" w:color="auto" w:fill="FFFFFF"/>
        </w:rPr>
        <w:t>56.7</w:t>
      </w:r>
      <w:r>
        <w:rPr>
          <w:rFonts w:ascii="Times New Roman" w:hAnsi="仿宋_GB2312"/>
          <w:szCs w:val="32"/>
          <w:shd w:val="clear" w:color="auto" w:fill="FFFFFF"/>
        </w:rPr>
        <w:t>万元，资金到位率</w:t>
      </w:r>
      <w:r>
        <w:rPr>
          <w:rFonts w:ascii="Times New Roman" w:hAnsi="Times New Roman"/>
          <w:szCs w:val="32"/>
          <w:shd w:val="clear" w:color="auto" w:fill="FFFFFF"/>
        </w:rPr>
        <w:t>100</w:t>
      </w:r>
      <w:r>
        <w:rPr>
          <w:rFonts w:ascii="Times New Roman" w:hAnsi="仿宋_GB2312"/>
          <w:szCs w:val="32"/>
          <w:shd w:val="clear" w:color="auto" w:fill="FFFFFF"/>
        </w:rPr>
        <w:t>％。专项经费及时、足额拨付到学校，并督促学校加强资金管理，确保专款专用。学校收到住房补助资金后，严格按照合作办学协议要求和专用账户资金管理要求，将相关经费用于</w:t>
      </w:r>
      <w:r>
        <w:rPr>
          <w:rFonts w:hint="eastAsia" w:ascii="Times New Roman" w:hAnsi="仿宋_GB2312"/>
          <w:szCs w:val="32"/>
          <w:shd w:val="clear" w:color="auto" w:fill="FFFFFF"/>
        </w:rPr>
        <w:t>48位一线教职工</w:t>
      </w:r>
      <w:r>
        <w:rPr>
          <w:rFonts w:ascii="Times New Roman" w:hAnsi="仿宋_GB2312"/>
          <w:szCs w:val="32"/>
          <w:shd w:val="clear" w:color="auto" w:fill="FFFFFF"/>
        </w:rPr>
        <w:t>住房补助。截至</w:t>
      </w:r>
      <w:r>
        <w:rPr>
          <w:rFonts w:ascii="Times New Roman" w:hAnsi="Times New Roman"/>
          <w:szCs w:val="32"/>
          <w:shd w:val="clear" w:color="auto" w:fill="FFFFFF"/>
        </w:rPr>
        <w:t>20</w:t>
      </w:r>
      <w:r>
        <w:rPr>
          <w:rFonts w:hint="eastAsia" w:ascii="Times New Roman" w:hAnsi="Times New Roman"/>
          <w:szCs w:val="32"/>
          <w:shd w:val="clear" w:color="auto" w:fill="FFFFFF"/>
        </w:rPr>
        <w:t>21</w:t>
      </w:r>
      <w:r>
        <w:rPr>
          <w:rFonts w:ascii="Times New Roman" w:hAnsi="仿宋_GB2312"/>
          <w:szCs w:val="32"/>
          <w:shd w:val="clear" w:color="auto" w:fill="FFFFFF"/>
        </w:rPr>
        <w:t>年</w:t>
      </w:r>
      <w:r>
        <w:rPr>
          <w:rFonts w:ascii="Times New Roman" w:hAnsi="Times New Roman"/>
          <w:szCs w:val="32"/>
          <w:shd w:val="clear" w:color="auto" w:fill="FFFFFF"/>
        </w:rPr>
        <w:t>12</w:t>
      </w:r>
      <w:r>
        <w:rPr>
          <w:rFonts w:ascii="Times New Roman" w:hAnsi="仿宋_GB2312"/>
          <w:szCs w:val="32"/>
          <w:shd w:val="clear" w:color="auto" w:fill="FFFFFF"/>
        </w:rPr>
        <w:t>月无结转资金，资金使用率</w:t>
      </w:r>
      <w:r>
        <w:rPr>
          <w:rFonts w:ascii="Times New Roman" w:hAnsi="Times New Roman"/>
          <w:szCs w:val="32"/>
          <w:shd w:val="clear" w:color="auto" w:fill="FFFFFF"/>
        </w:rPr>
        <w:t>100</w:t>
      </w:r>
      <w:r>
        <w:rPr>
          <w:rFonts w:ascii="Times New Roman" w:hAnsi="仿宋_GB2312"/>
          <w:szCs w:val="32"/>
          <w:shd w:val="clear" w:color="auto" w:fill="FFFFFF"/>
        </w:rPr>
        <w:t>％。</w:t>
      </w:r>
    </w:p>
    <w:p>
      <w:pPr>
        <w:keepNext w:val="0"/>
        <w:keepLines w:val="0"/>
        <w:pageBreakBefore w:val="0"/>
        <w:tabs>
          <w:tab w:val="left" w:pos="5346"/>
        </w:tabs>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Cs w:val="32"/>
        </w:rPr>
      </w:pPr>
      <w:r>
        <w:rPr>
          <w:rFonts w:ascii="黑体" w:hAnsi="黑体" w:eastAsia="黑体"/>
          <w:szCs w:val="32"/>
          <w:shd w:val="clear" w:color="auto" w:fill="FFFFFF"/>
        </w:rPr>
        <w:t>三、</w:t>
      </w:r>
      <w:r>
        <w:rPr>
          <w:rFonts w:hint="eastAsia" w:ascii="黑体" w:hAnsi="黑体" w:eastAsia="黑体"/>
          <w:szCs w:val="32"/>
          <w:shd w:val="clear" w:color="auto" w:fill="FFFFFF"/>
        </w:rPr>
        <w:t>项目组织实施</w:t>
      </w:r>
      <w:r>
        <w:rPr>
          <w:rFonts w:ascii="黑体" w:hAnsi="黑体" w:eastAsia="黑体"/>
          <w:szCs w:val="32"/>
          <w:shd w:val="clear" w:color="auto" w:fill="FFFFFF"/>
        </w:rPr>
        <w:t>情况</w:t>
      </w:r>
      <w:r>
        <w:rPr>
          <w:rFonts w:ascii="Times New Roman" w:hAnsi="Times New Roman" w:eastAsia="黑体"/>
          <w:szCs w:val="32"/>
        </w:rPr>
        <w:tab/>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Times New Roman" w:hAnsi="Times New Roman"/>
          <w:szCs w:val="32"/>
        </w:rPr>
      </w:pPr>
      <w:r>
        <w:rPr>
          <w:rFonts w:ascii="Times New Roman" w:hAnsi="仿宋_GB2312"/>
          <w:szCs w:val="32"/>
        </w:rPr>
        <w:t>呈贡区委、区政府制定出台了《昆明市呈贡区创新合作办学学校服务和管理的意见（试行）》（呈通〔</w:t>
      </w:r>
      <w:r>
        <w:rPr>
          <w:rFonts w:ascii="Times New Roman" w:hAnsi="Times New Roman"/>
          <w:szCs w:val="32"/>
        </w:rPr>
        <w:t>2015</w:t>
      </w:r>
      <w:r>
        <w:rPr>
          <w:rFonts w:ascii="Times New Roman" w:hAnsi="仿宋_GB2312"/>
          <w:szCs w:val="32"/>
        </w:rPr>
        <w:t>〕</w:t>
      </w:r>
      <w:r>
        <w:rPr>
          <w:rFonts w:ascii="Times New Roman" w:hAnsi="Times New Roman"/>
          <w:szCs w:val="32"/>
        </w:rPr>
        <w:t>16</w:t>
      </w:r>
      <w:r>
        <w:rPr>
          <w:rFonts w:ascii="Times New Roman" w:hAnsi="仿宋_GB2312"/>
          <w:szCs w:val="32"/>
        </w:rPr>
        <w:t>号），加强对合作办学学校的监督指导，进一步规范学校办学行为。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仿宋_GB2312"/>
          <w:szCs w:val="32"/>
        </w:rPr>
      </w:pPr>
      <w:r>
        <w:rPr>
          <w:rFonts w:ascii="Times New Roman" w:hAnsi="仿宋_GB2312"/>
          <w:szCs w:val="32"/>
        </w:rPr>
        <w:t>在经费的收支预算执行过程中，我们严格按照《合作办学协议》，将云南衡水呈贡实验中学教</w:t>
      </w:r>
      <w:r>
        <w:rPr>
          <w:rFonts w:ascii="Times New Roman" w:hAnsi="仿宋_GB2312"/>
          <w:szCs w:val="32"/>
          <w:shd w:val="clear" w:color="auto" w:fill="FFFFFF"/>
        </w:rPr>
        <w:t>师住房补助资金纳入部门财政资金预算，在财政资金下达后，严格按照</w:t>
      </w:r>
      <w:r>
        <w:rPr>
          <w:rFonts w:ascii="Times New Roman" w:hAnsi="仿宋_GB2312"/>
          <w:szCs w:val="32"/>
        </w:rPr>
        <w:t>财政预算批复数将专项经费及时、足额拨付到学校，同时加强对学校项目资金的管理，确保专款专用，充分发挥财政资金的使用效益。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仿宋_GB2312"/>
          <w:szCs w:val="32"/>
        </w:rPr>
      </w:pPr>
      <w:r>
        <w:rPr>
          <w:rFonts w:ascii="Times New Roman" w:hAnsi="仿宋_GB2312"/>
          <w:szCs w:val="32"/>
        </w:rPr>
        <w:t>学校</w:t>
      </w:r>
      <w:r>
        <w:rPr>
          <w:rFonts w:hint="eastAsia" w:ascii="Times New Roman" w:hAnsi="仿宋_GB2312"/>
          <w:szCs w:val="32"/>
        </w:rPr>
        <w:t>成立专项管理小组，组长由执行校长和财务经理共同担任，负责监管此项资金的使用情况，做到公开公平、公正。副组长由负责政府补助项目的副校长担任，负责制定该项补助的发放对象、金额、时间等一系列制度。小组成员包括：校区财务，各年级组长。年级组长负责前期的教职工住房情况调研，切实合理的向未购房、学校离家远、家庭困难对学校有突出贡献的一线教职工倾斜分配该项资金。校区财务负责在收到拔付后管理好该项资金，发放时做好公示工作，公示无异议后将该项资金发放做好按时准确发放到位，并做好后续的台账管理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仿宋_GB2312"/>
          <w:szCs w:val="32"/>
        </w:rPr>
      </w:pPr>
      <w:r>
        <w:rPr>
          <w:rFonts w:ascii="Times New Roman" w:hAnsi="仿宋_GB2312"/>
          <w:szCs w:val="32"/>
        </w:rPr>
        <w:t>学校严格按项目计划和规定用途专款专用，将资金用于</w:t>
      </w:r>
      <w:r>
        <w:rPr>
          <w:rFonts w:ascii="Times New Roman" w:hAnsi="仿宋_GB2312"/>
          <w:szCs w:val="32"/>
          <w:shd w:val="clear" w:color="auto" w:fill="FFFFFF"/>
        </w:rPr>
        <w:t>教师住房补助</w:t>
      </w:r>
      <w:r>
        <w:rPr>
          <w:rFonts w:ascii="Times New Roman" w:hAnsi="仿宋_GB2312"/>
          <w:szCs w:val="32"/>
        </w:rPr>
        <w:t>，不拖欠、不截留，此专项经费支出规范、合理，无虚列、虚报冒领和挤占挪用的现象。</w:t>
      </w:r>
      <w:r>
        <w:rPr>
          <w:rFonts w:ascii="Times New Roman" w:hAnsi="仿宋_GB2312"/>
          <w:szCs w:val="32"/>
          <w:shd w:val="clear" w:color="auto" w:fill="FFFFFF"/>
        </w:rPr>
        <w:t>教师住房补助资金</w:t>
      </w:r>
      <w:r>
        <w:rPr>
          <w:rFonts w:ascii="Times New Roman" w:hAnsi="仿宋_GB2312"/>
          <w:szCs w:val="32"/>
        </w:rPr>
        <w:t>按时足额到位，有效保障了教师的生活需求，保障学校教育教学工作正常开展，学校处于良性发展的生态环境。</w:t>
      </w:r>
    </w:p>
    <w:p>
      <w:pPr>
        <w:keepNext w:val="0"/>
        <w:keepLines w:val="0"/>
        <w:pageBreakBefore w:val="0"/>
        <w:tabs>
          <w:tab w:val="left" w:pos="5346"/>
        </w:tabs>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Cs w:val="32"/>
          <w:shd w:val="clear" w:color="auto" w:fill="FFFFFF"/>
        </w:rPr>
      </w:pPr>
      <w:r>
        <w:rPr>
          <w:rFonts w:ascii="黑体" w:hAnsi="黑体" w:eastAsia="黑体"/>
          <w:szCs w:val="32"/>
          <w:shd w:val="clear" w:color="auto" w:fill="FFFFFF"/>
        </w:rPr>
        <w:t>四、</w:t>
      </w:r>
      <w:r>
        <w:rPr>
          <w:rFonts w:hint="eastAsia" w:ascii="黑体" w:hAnsi="黑体" w:eastAsia="黑体"/>
          <w:szCs w:val="32"/>
          <w:shd w:val="clear" w:color="auto" w:fill="FFFFFF"/>
        </w:rPr>
        <w:t>项目</w:t>
      </w:r>
      <w:r>
        <w:rPr>
          <w:rFonts w:ascii="黑体" w:hAnsi="黑体" w:eastAsia="黑体"/>
          <w:szCs w:val="32"/>
          <w:shd w:val="clear" w:color="auto" w:fill="FFFFFF"/>
        </w:rPr>
        <w:t>绩效情况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szCs w:val="32"/>
        </w:rPr>
      </w:pPr>
      <w:r>
        <w:rPr>
          <w:rFonts w:hint="eastAsia" w:ascii="Times New Roman" w:hAnsi="Times New Roman"/>
          <w:szCs w:val="32"/>
        </w:rPr>
        <w:t xml:space="preserve"> </w:t>
      </w:r>
      <w:r>
        <w:rPr>
          <w:rFonts w:ascii="Times New Roman" w:hAnsi="Times New Roman"/>
          <w:szCs w:val="32"/>
        </w:rPr>
        <w:t>1</w:t>
      </w:r>
      <w:r>
        <w:rPr>
          <w:rFonts w:ascii="Times New Roman" w:hAnsi="仿宋_GB2312"/>
          <w:szCs w:val="32"/>
        </w:rPr>
        <w:t>、项目经济性分析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Times New Roman" w:hAnsi="Times New Roman"/>
          <w:szCs w:val="32"/>
        </w:rPr>
      </w:pPr>
      <w:r>
        <w:rPr>
          <w:rFonts w:ascii="Times New Roman" w:hAnsi="Times New Roman"/>
          <w:szCs w:val="32"/>
        </w:rPr>
        <w:t>20</w:t>
      </w:r>
      <w:r>
        <w:rPr>
          <w:rFonts w:hint="eastAsia" w:ascii="Times New Roman" w:hAnsi="Times New Roman"/>
          <w:szCs w:val="32"/>
        </w:rPr>
        <w:t>21</w:t>
      </w:r>
      <w:r>
        <w:rPr>
          <w:rFonts w:ascii="Times New Roman" w:hAnsi="仿宋_GB2312"/>
          <w:szCs w:val="32"/>
        </w:rPr>
        <w:t>年度</w:t>
      </w:r>
      <w:r>
        <w:rPr>
          <w:rFonts w:ascii="Times New Roman" w:hAnsi="仿宋_GB2312"/>
          <w:szCs w:val="32"/>
          <w:shd w:val="clear" w:color="auto" w:fill="FFFFFF"/>
        </w:rPr>
        <w:t>云南衡水呈贡实验中学教师住房补助</w:t>
      </w:r>
      <w:r>
        <w:rPr>
          <w:rFonts w:ascii="Times New Roman" w:hAnsi="仿宋_GB2312"/>
          <w:szCs w:val="32"/>
        </w:rPr>
        <w:t>拨付资金</w:t>
      </w:r>
      <w:r>
        <w:rPr>
          <w:rFonts w:ascii="Times New Roman" w:hAnsi="Times New Roman"/>
          <w:szCs w:val="32"/>
        </w:rPr>
        <w:t>56.7</w:t>
      </w:r>
      <w:r>
        <w:rPr>
          <w:rFonts w:ascii="Times New Roman" w:hAnsi="仿宋_GB2312"/>
          <w:szCs w:val="32"/>
        </w:rPr>
        <w:t>万元，实际使用资金</w:t>
      </w:r>
      <w:r>
        <w:rPr>
          <w:rFonts w:ascii="Times New Roman" w:hAnsi="Times New Roman"/>
          <w:szCs w:val="32"/>
        </w:rPr>
        <w:t>56.7</w:t>
      </w:r>
      <w:r>
        <w:rPr>
          <w:rFonts w:ascii="Times New Roman" w:hAnsi="仿宋_GB2312"/>
          <w:szCs w:val="32"/>
        </w:rPr>
        <w:t>万元，本年无结余资金，该项资金不存在截留和挪用资金的现象。</w:t>
      </w:r>
      <w:r>
        <w:rPr>
          <w:rFonts w:ascii="Times New Roman" w:hAnsi="Times New Roman"/>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szCs w:val="32"/>
        </w:rPr>
      </w:pPr>
      <w:r>
        <w:rPr>
          <w:rFonts w:ascii="Times New Roman" w:hAnsi="Times New Roman"/>
          <w:szCs w:val="32"/>
        </w:rPr>
        <w:t>2</w:t>
      </w:r>
      <w:r>
        <w:rPr>
          <w:rFonts w:ascii="Times New Roman" w:hAnsi="仿宋_GB2312"/>
          <w:szCs w:val="32"/>
        </w:rPr>
        <w:t>、项目的效率性分析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仿宋_GB2312"/>
          <w:szCs w:val="32"/>
        </w:rPr>
      </w:pPr>
      <w:r>
        <w:rPr>
          <w:rFonts w:ascii="Times New Roman" w:hAnsi="仿宋_GB2312"/>
          <w:szCs w:val="32"/>
        </w:rPr>
        <w:t>截止</w:t>
      </w:r>
      <w:r>
        <w:rPr>
          <w:rFonts w:ascii="Times New Roman" w:hAnsi="Times New Roman"/>
          <w:szCs w:val="32"/>
        </w:rPr>
        <w:t>20</w:t>
      </w:r>
      <w:r>
        <w:rPr>
          <w:rFonts w:hint="eastAsia" w:ascii="Times New Roman" w:hAnsi="Times New Roman"/>
          <w:szCs w:val="32"/>
        </w:rPr>
        <w:t>21</w:t>
      </w:r>
      <w:r>
        <w:rPr>
          <w:rFonts w:ascii="Times New Roman" w:hAnsi="仿宋_GB2312"/>
          <w:szCs w:val="32"/>
        </w:rPr>
        <w:t>年</w:t>
      </w:r>
      <w:r>
        <w:rPr>
          <w:rFonts w:ascii="Times New Roman" w:hAnsi="Times New Roman"/>
          <w:szCs w:val="32"/>
        </w:rPr>
        <w:t>12</w:t>
      </w:r>
      <w:r>
        <w:rPr>
          <w:rFonts w:ascii="Times New Roman" w:hAnsi="仿宋_GB2312"/>
          <w:szCs w:val="32"/>
        </w:rPr>
        <w:t>月，项目所实施的内容已按要求完成，学校按要求把</w:t>
      </w:r>
      <w:r>
        <w:rPr>
          <w:rFonts w:ascii="Times New Roman" w:hAnsi="仿宋_GB2312"/>
          <w:szCs w:val="32"/>
          <w:shd w:val="clear" w:color="auto" w:fill="FFFFFF"/>
        </w:rPr>
        <w:t>教师住房补助</w:t>
      </w:r>
      <w:r>
        <w:rPr>
          <w:rFonts w:ascii="Times New Roman" w:hAnsi="仿宋_GB2312"/>
          <w:szCs w:val="32"/>
        </w:rPr>
        <w:t>进行了分账核算，按照适用范围列支。</w:t>
      </w:r>
      <w:r>
        <w:rPr>
          <w:rFonts w:ascii="Times New Roman" w:hAnsi="Times New Roman"/>
          <w:szCs w:val="32"/>
        </w:rPr>
        <w:t>20</w:t>
      </w:r>
      <w:r>
        <w:rPr>
          <w:rFonts w:hint="eastAsia" w:ascii="Times New Roman" w:hAnsi="Times New Roman"/>
          <w:szCs w:val="32"/>
        </w:rPr>
        <w:t>21</w:t>
      </w:r>
      <w:r>
        <w:rPr>
          <w:rFonts w:ascii="Times New Roman" w:hAnsi="仿宋_GB2312"/>
          <w:szCs w:val="32"/>
        </w:rPr>
        <w:t>年度该项目资金严格按照项目管理制度规定执行，学校资金使用合规、合法，项目完成质量较好。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仿宋_GB2312"/>
          <w:szCs w:val="32"/>
        </w:rPr>
      </w:pPr>
      <w:r>
        <w:rPr>
          <w:rFonts w:ascii="Times New Roman" w:hAnsi="Times New Roman"/>
          <w:szCs w:val="32"/>
        </w:rPr>
        <w:t>3</w:t>
      </w:r>
      <w:r>
        <w:rPr>
          <w:rFonts w:ascii="Times New Roman" w:hAnsi="仿宋_GB2312"/>
          <w:szCs w:val="32"/>
        </w:rPr>
        <w:t>、项目的</w:t>
      </w:r>
      <w:r>
        <w:rPr>
          <w:rFonts w:hint="eastAsia" w:ascii="Times New Roman" w:hAnsi="仿宋_GB2312"/>
          <w:szCs w:val="32"/>
        </w:rPr>
        <w:t>有效</w:t>
      </w:r>
      <w:r>
        <w:rPr>
          <w:rFonts w:ascii="Times New Roman" w:hAnsi="仿宋_GB2312"/>
          <w:szCs w:val="32"/>
        </w:rPr>
        <w:t>性分析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szCs w:val="32"/>
        </w:rPr>
      </w:pPr>
      <w:r>
        <w:rPr>
          <w:rFonts w:hint="eastAsia" w:ascii="Times New Roman" w:hAnsi="Times New Roman"/>
          <w:szCs w:val="32"/>
        </w:rPr>
        <w:t>学校一线教师180 余人，一半为外省籍教师，且在本地未购房。因学校使用场地、宿舍只够学生居住，为解决教师住房问题，教师住房补助很大程度上减轻了教师住房的压力，提升了教师幸福感，对学校的人才引进、人才培养起了很大作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szCs w:val="32"/>
        </w:rPr>
      </w:pPr>
      <w:r>
        <w:rPr>
          <w:rFonts w:hint="eastAsia" w:ascii="Times New Roman" w:hAnsi="Times New Roman"/>
          <w:szCs w:val="32"/>
        </w:rPr>
        <w:t>4</w:t>
      </w:r>
      <w:r>
        <w:rPr>
          <w:rFonts w:ascii="Times New Roman" w:hAnsi="仿宋_GB2312"/>
          <w:szCs w:val="32"/>
        </w:rPr>
        <w:t>、项目的效益性分析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szCs w:val="32"/>
        </w:rPr>
      </w:pPr>
      <w:r>
        <w:rPr>
          <w:rFonts w:ascii="Times New Roman" w:hAnsi="仿宋_GB2312"/>
          <w:szCs w:val="32"/>
        </w:rPr>
        <w:t>通过项目实施使学校得到部分财政资金的支持，极大地调动了办学积极性，也有力支持了学校的建设发展。学校聘用的优秀教师进得来、留得住、干得好，有利于教师队伍稳定，教学积极性增强，学校办学质量稳步提升。呈贡区优质教育资源增量扩优，为拉动新区经济建设、聚集人气发挥积极作用。优质教育资源覆盖面不断扩大，新区人民群众真正享受到新区建设带来的实惠，群众满意度大幅度提高，新区教育发展成果惠及面日益扩大。</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Cs w:val="32"/>
          <w:shd w:val="clear" w:color="auto" w:fill="FFFFFF"/>
        </w:rPr>
      </w:pPr>
      <w:r>
        <w:rPr>
          <w:rFonts w:ascii="黑体" w:hAnsi="黑体" w:eastAsia="黑体"/>
          <w:szCs w:val="32"/>
          <w:shd w:val="clear" w:color="auto" w:fill="FFFFFF"/>
        </w:rPr>
        <w:t>五、存在的问题</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Times New Roman" w:hAnsi="仿宋_GB2312"/>
          <w:szCs w:val="32"/>
          <w:shd w:val="clear" w:color="auto" w:fill="FFFFFF"/>
        </w:rPr>
      </w:pPr>
      <w:r>
        <w:rPr>
          <w:rFonts w:hint="eastAsia" w:ascii="Times New Roman" w:hAnsi="仿宋_GB2312"/>
          <w:szCs w:val="32"/>
          <w:shd w:val="clear" w:color="auto" w:fill="FFFFFF"/>
        </w:rPr>
        <w:t>学校因集团化办学管理，资金发放的审批流程比较复杂，再加之学校在整理和核实教师租房合同的真实性、有效性上耽搁时间，导致等走完各项发放的审批流程后，资金发放不及时。针对此问题，学校已经向集团请示，要求简化资金发放的审批流程，做到及时有效的发放专项补助资金。后续工作中，学校将不断完善财政专项资金使用管理办法，并加强财会人员培训，以确保按规定使用专项资金，做到收支清晰、使用及时、核算规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Cs w:val="32"/>
          <w:shd w:val="clear" w:color="auto" w:fill="FFFFFF"/>
        </w:rPr>
      </w:pPr>
      <w:r>
        <w:rPr>
          <w:rFonts w:hint="eastAsia" w:ascii="黑体" w:hAnsi="黑体" w:eastAsia="黑体"/>
          <w:szCs w:val="32"/>
          <w:shd w:val="clear" w:color="auto" w:fill="FFFFFF"/>
        </w:rPr>
        <w:t>六</w:t>
      </w:r>
      <w:r>
        <w:rPr>
          <w:rFonts w:ascii="黑体" w:hAnsi="黑体" w:eastAsia="黑体"/>
          <w:szCs w:val="32"/>
          <w:shd w:val="clear" w:color="auto" w:fill="FFFFFF"/>
        </w:rPr>
        <w:t>、其他需说明的问题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szCs w:val="32"/>
          <w:lang w:eastAsia="zh-CN"/>
        </w:rPr>
      </w:pPr>
      <w:r>
        <w:rPr>
          <w:rFonts w:hint="eastAsia" w:ascii="Times New Roman" w:hAnsi="仿宋_GB2312"/>
          <w:szCs w:val="32"/>
        </w:rPr>
        <w:t>无</w:t>
      </w:r>
      <w:r>
        <w:rPr>
          <w:rFonts w:hint="eastAsia" w:ascii="Times New Roman" w:hAnsi="仿宋_GB2312"/>
          <w:szCs w:val="32"/>
          <w:lang w:eastAsia="zh-CN"/>
        </w:rPr>
        <w:t>。</w:t>
      </w:r>
      <w:bookmarkStart w:id="0" w:name="_GoBack"/>
      <w:bookmarkEnd w:id="0"/>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Times New Roman" w:hAnsi="Times New Roman"/>
          <w:szCs w:val="32"/>
        </w:rPr>
      </w:pPr>
    </w:p>
    <w:sectPr>
      <w:footerReference r:id="rId3" w:type="default"/>
      <w:endnotePr>
        <w:numFmt w:val="decimal"/>
      </w:endnotePr>
      <w:pgSz w:w="11906" w:h="16838"/>
      <w:pgMar w:top="1588" w:right="1588" w:bottom="1588" w:left="1588" w:header="720" w:footer="992"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 PAGE \* Arabic </w:instrText>
    </w:r>
    <w:r>
      <w:fldChar w:fldCharType="separate"/>
    </w:r>
    <w:r>
      <w:t>4</w:t>
    </w:r>
    <w:r>
      <w:fldChar w:fldCharType="end"/>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304"/>
  <w:displayHorizontalDrawingGridEvery w:val="2"/>
  <w:characterSpacingControl w:val="doNotCompress"/>
  <w:endnotePr>
    <w:numFmt w:val="decimal"/>
  </w:endnotePr>
  <w:compat>
    <w:doNotExpandShiftReturn/>
    <w:useFELayout/>
    <w:compatSetting w:name="compatibilityMode" w:uri="http://schemas.microsoft.com/office/word" w:val="12"/>
  </w:compat>
  <w:rsids>
    <w:rsidRoot w:val="00DF628A"/>
    <w:rsid w:val="000550C0"/>
    <w:rsid w:val="000E51BE"/>
    <w:rsid w:val="000E6B1B"/>
    <w:rsid w:val="00107209"/>
    <w:rsid w:val="0016709C"/>
    <w:rsid w:val="001B5590"/>
    <w:rsid w:val="00277184"/>
    <w:rsid w:val="00323CAF"/>
    <w:rsid w:val="00394E64"/>
    <w:rsid w:val="004A75DC"/>
    <w:rsid w:val="00570CED"/>
    <w:rsid w:val="00603CD8"/>
    <w:rsid w:val="007B43AA"/>
    <w:rsid w:val="00876666"/>
    <w:rsid w:val="008D29FC"/>
    <w:rsid w:val="008D2AA4"/>
    <w:rsid w:val="00955488"/>
    <w:rsid w:val="009B0C8B"/>
    <w:rsid w:val="009D1587"/>
    <w:rsid w:val="00A16CBF"/>
    <w:rsid w:val="00B501B6"/>
    <w:rsid w:val="00C438F8"/>
    <w:rsid w:val="00C52E51"/>
    <w:rsid w:val="00CB6AC8"/>
    <w:rsid w:val="00D25FAD"/>
    <w:rsid w:val="00D613B4"/>
    <w:rsid w:val="00DC5F2D"/>
    <w:rsid w:val="00DF628A"/>
    <w:rsid w:val="00EE44A9"/>
    <w:rsid w:val="00F07720"/>
    <w:rsid w:val="00F2319E"/>
    <w:rsid w:val="00F30275"/>
    <w:rsid w:val="00F46CAA"/>
    <w:rsid w:val="00F91BD7"/>
    <w:rsid w:val="00F9771E"/>
    <w:rsid w:val="00FB3D96"/>
    <w:rsid w:val="06EB5921"/>
    <w:rsid w:val="4CDD10D4"/>
    <w:rsid w:val="527B0C1E"/>
    <w:rsid w:val="56A750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1"/>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qFormat/>
    <w:uiPriority w:val="0"/>
    <w:pPr>
      <w:widowControl w:val="0"/>
    </w:pPr>
    <w:rPr>
      <w:rFonts w:ascii="Calibri" w:hAnsi="Calibri" w:eastAsia="仿宋_GB2312" w:cs="Times New Roman"/>
      <w:kern w:val="1"/>
      <w:sz w:val="18"/>
      <w:szCs w:val="18"/>
      <w:lang w:val="en-US" w:eastAsia="zh-CN" w:bidi="ar-SA"/>
    </w:rPr>
  </w:style>
  <w:style w:type="paragraph" w:styleId="3">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solid" w:color="auto" w:fill="auto"/>
      <w:jc w:val="center"/>
    </w:pPr>
    <w:rPr>
      <w:rFonts w:ascii="Calibri" w:hAnsi="Calibri" w:eastAsia="仿宋_GB2312" w:cs="Times New Roman"/>
      <w:kern w:val="1"/>
      <w:sz w:val="18"/>
      <w:szCs w:val="18"/>
      <w:lang w:val="en-US" w:eastAsia="zh-CN" w:bidi="ar-SA"/>
    </w:rPr>
  </w:style>
  <w:style w:type="paragraph" w:customStyle="1" w:styleId="6">
    <w:name w:val="列出段落1"/>
    <w:qFormat/>
    <w:uiPriority w:val="0"/>
    <w:pPr>
      <w:widowControl w:val="0"/>
      <w:ind w:firstLine="420"/>
      <w:jc w:val="both"/>
    </w:pPr>
    <w:rPr>
      <w:rFonts w:ascii="Calibri" w:hAnsi="Calibri" w:eastAsia="仿宋_GB2312" w:cs="Times New Roman"/>
      <w:kern w:val="1"/>
      <w:sz w:val="32"/>
      <w:szCs w:val="22"/>
      <w:lang w:val="en-US" w:eastAsia="zh-CN" w:bidi="ar-SA"/>
    </w:rPr>
  </w:style>
  <w:style w:type="character" w:customStyle="1" w:styleId="7">
    <w:name w:val="页眉 Char"/>
    <w:uiPriority w:val="0"/>
    <w:rPr>
      <w:rFonts w:eastAsia="仿宋_GB2312"/>
      <w:kern w:val="1"/>
      <w:sz w:val="18"/>
      <w:szCs w:val="18"/>
    </w:rPr>
  </w:style>
  <w:style w:type="character" w:customStyle="1" w:styleId="8">
    <w:name w:val="页脚 Char"/>
    <w:uiPriority w:val="0"/>
    <w:rPr>
      <w:rFonts w:eastAsia="仿宋_GB2312"/>
      <w:kern w:val="1"/>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仿宋_GB2312"/>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344</Words>
  <Characters>1965</Characters>
  <Lines>16</Lines>
  <Paragraphs>4</Paragraphs>
  <TotalTime>41</TotalTime>
  <ScaleCrop>false</ScaleCrop>
  <LinksUpToDate>false</LinksUpToDate>
  <CharactersWithSpaces>2305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LMD</cp:lastModifiedBy>
  <cp:lastPrinted>2022-03-23T03:42:00Z</cp:lastPrinted>
  <dcterms:modified xsi:type="dcterms:W3CDTF">2022-09-27T10:19:30Z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