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Ansi="Times New Roman" w:eastAsia="方正小标宋简体" w:asciiTheme="majorBidi" w:cstheme="majorBidi"/>
          <w:sz w:val="44"/>
          <w:szCs w:val="44"/>
          <w:lang w:eastAsia="zh-CN"/>
        </w:rPr>
      </w:pPr>
      <w:r>
        <w:rPr>
          <w:rFonts w:hAnsi="Times New Roman" w:eastAsia="方正小标宋简体" w:asciiTheme="majorBidi" w:cstheme="majorBidi"/>
          <w:sz w:val="44"/>
          <w:szCs w:val="44"/>
          <w:lang w:eastAsia="zh-CN"/>
        </w:rPr>
        <w:t>昆明市呈贡区教育体育</w:t>
      </w:r>
      <w:r>
        <w:rPr>
          <w:rFonts w:hint="eastAsia" w:hAnsi="Times New Roman" w:eastAsia="方正小标宋简体" w:asciiTheme="majorBidi" w:cstheme="majorBidi"/>
          <w:sz w:val="44"/>
          <w:szCs w:val="44"/>
          <w:lang w:eastAsia="zh-CN"/>
        </w:rPr>
        <w:t>发展综合服务中心</w:t>
      </w:r>
    </w:p>
    <w:p>
      <w:pPr>
        <w:adjustRightInd w:val="0"/>
        <w:snapToGrid w:val="0"/>
        <w:spacing w:line="560" w:lineRule="exact"/>
        <w:jc w:val="center"/>
        <w:rPr>
          <w:rFonts w:hAnsi="Times New Roman" w:eastAsia="方正小标宋简体" w:asciiTheme="majorBidi" w:cstheme="majorBidi"/>
          <w:sz w:val="44"/>
          <w:szCs w:val="44"/>
          <w:lang w:eastAsia="zh-CN"/>
        </w:rPr>
      </w:pPr>
      <w:r>
        <w:rPr>
          <w:rFonts w:hAnsi="Times New Roman" w:eastAsia="方正小标宋简体" w:asciiTheme="majorBidi" w:cstheme="majorBidi"/>
          <w:sz w:val="44"/>
          <w:szCs w:val="44"/>
          <w:lang w:eastAsia="zh-CN"/>
        </w:rPr>
        <w:t>关于昆明市教工第一幼儿园白龙潭园区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 w:asciiTheme="majorBidi" w:hAnsiTheme="majorBidi" w:cstheme="majorBidi"/>
          <w:sz w:val="44"/>
          <w:szCs w:val="44"/>
          <w:lang w:eastAsia="zh-CN"/>
        </w:rPr>
      </w:pPr>
      <w:r>
        <w:rPr>
          <w:rFonts w:hAnsi="Times New Roman" w:eastAsia="方正小标宋简体" w:asciiTheme="majorBidi" w:cstheme="majorBidi"/>
          <w:sz w:val="44"/>
          <w:szCs w:val="44"/>
          <w:lang w:eastAsia="zh-CN"/>
        </w:rPr>
        <w:t>合作办学经费项目支出绩效报告</w:t>
      </w:r>
    </w:p>
    <w:p>
      <w:pPr>
        <w:adjustRightInd w:val="0"/>
        <w:snapToGrid w:val="0"/>
        <w:spacing w:line="560" w:lineRule="exact"/>
        <w:ind w:firstLine="596"/>
        <w:rPr>
          <w:rFonts w:asciiTheme="majorBidi" w:hAnsiTheme="majorBidi" w:cstheme="majorBidi"/>
          <w:b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5346"/>
        </w:tabs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 w:asciiTheme="majorBidi" w:hAnsiTheme="majorBidi" w:cstheme="majorBidi"/>
          <w:bCs/>
          <w:sz w:val="32"/>
          <w:szCs w:val="32"/>
          <w:lang w:eastAsia="zh-CN"/>
        </w:rPr>
      </w:pPr>
      <w:r>
        <w:rPr>
          <w:rFonts w:hAnsi="黑体" w:eastAsia="黑体" w:asciiTheme="majorBidi" w:cstheme="majorBidi"/>
          <w:bCs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 w:asciiTheme="majorBidi" w:hAnsiTheme="majorBidi" w:cstheme="majorBidi"/>
          <w:sz w:val="32"/>
          <w:szCs w:val="32"/>
          <w:lang w:eastAsia="zh-CN"/>
        </w:rPr>
      </w:pPr>
      <w:r>
        <w:rPr>
          <w:rFonts w:eastAsia="仿宋_GB2312" w:asciiTheme="majorBidi" w:cstheme="majorBidi"/>
          <w:sz w:val="32"/>
          <w:szCs w:val="32"/>
          <w:lang w:eastAsia="zh-CN"/>
        </w:rPr>
        <w:t>为不断增强呈贡新区的服务配套功能，增加呈贡新区优质教育资源总量，充分发挥名校的资源优势和品牌效应，本着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“</w:t>
      </w:r>
      <w:r>
        <w:rPr>
          <w:rFonts w:eastAsia="仿宋_GB2312" w:asciiTheme="majorBidi" w:cstheme="majorBidi"/>
          <w:sz w:val="32"/>
          <w:szCs w:val="32"/>
          <w:lang w:eastAsia="zh-CN"/>
        </w:rPr>
        <w:t>加强合作，优势互补，互惠互利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”</w:t>
      </w:r>
      <w:r>
        <w:rPr>
          <w:rFonts w:eastAsia="仿宋_GB2312" w:asciiTheme="majorBidi" w:cstheme="majorBidi"/>
          <w:sz w:val="32"/>
          <w:szCs w:val="32"/>
          <w:lang w:eastAsia="zh-CN"/>
        </w:rPr>
        <w:t>的原则，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2015</w:t>
      </w:r>
      <w:r>
        <w:rPr>
          <w:rFonts w:eastAsia="仿宋_GB2312" w:asciiTheme="majorBidi" w:cstheme="majorBidi"/>
          <w:sz w:val="32"/>
          <w:szCs w:val="32"/>
          <w:lang w:eastAsia="zh-CN"/>
        </w:rPr>
        <w:t>年昆明市教育体育局与呈贡区签订《昆明市呈贡区人民政府与昆明市教育局合作办学协议书》，共同举办昆明市教工一幼白龙潭园区。按照协议约定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“</w:t>
      </w:r>
      <w:r>
        <w:rPr>
          <w:rFonts w:eastAsia="仿宋_GB2312" w:asciiTheme="majorBidi" w:cstheme="majorBidi"/>
          <w:sz w:val="32"/>
          <w:szCs w:val="32"/>
          <w:lang w:eastAsia="zh-CN"/>
        </w:rPr>
        <w:t>甲方（昆明市呈贡区人民政府）负责承担建设资金、办学人员经费、公用经费和一次性购置教学设备、装修改造等经费的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30%”</w:t>
      </w:r>
      <w:r>
        <w:rPr>
          <w:rFonts w:eastAsia="仿宋_GB2312" w:asciiTheme="majorBidi" w:cstheme="majorBidi"/>
          <w:sz w:val="32"/>
          <w:szCs w:val="32"/>
          <w:lang w:eastAsia="zh-CN"/>
        </w:rPr>
        <w:t>。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asciiTheme="majorBidi" w:hAnsiTheme="majorBidi" w:cstheme="majorBidi"/>
          <w:szCs w:val="32"/>
          <w:shd w:val="clear" w:color="auto" w:fill="FFFFFF"/>
          <w:lang w:eastAsia="zh-CN"/>
        </w:rPr>
      </w:pPr>
      <w:r>
        <w:rPr>
          <w:rFonts w:eastAsia="仿宋_GB2312" w:asciiTheme="majorBidi" w:cstheme="majorBidi"/>
          <w:sz w:val="32"/>
          <w:szCs w:val="32"/>
          <w:lang w:eastAsia="zh-CN"/>
        </w:rPr>
        <w:t>根据《昆明市教育体育局关于建议安排合作办学单</w:t>
      </w:r>
      <w:bookmarkStart w:id="0" w:name="_GoBack"/>
      <w:bookmarkEnd w:id="0"/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202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1</w:t>
      </w:r>
      <w:r>
        <w:rPr>
          <w:rFonts w:eastAsia="仿宋_GB2312" w:asciiTheme="majorBidi" w:cstheme="majorBidi"/>
          <w:sz w:val="32"/>
          <w:szCs w:val="32"/>
          <w:lang w:eastAsia="zh-CN"/>
        </w:rPr>
        <w:t>年度预算的函》</w:t>
      </w:r>
      <w:r>
        <w:rPr>
          <w:rFonts w:hint="eastAsia" w:eastAsia="仿宋_GB2312" w:asciiTheme="majorBidi" w:cstheme="majorBidi"/>
          <w:sz w:val="32"/>
          <w:szCs w:val="32"/>
          <w:lang w:eastAsia="zh-CN"/>
        </w:rPr>
        <w:t>，</w:t>
      </w:r>
      <w:r>
        <w:rPr>
          <w:rFonts w:eastAsia="仿宋_GB2312" w:asciiTheme="majorBidi" w:cstheme="majorBidi"/>
          <w:sz w:val="32"/>
          <w:szCs w:val="32"/>
          <w:lang w:eastAsia="zh-CN"/>
        </w:rPr>
        <w:t>市教育体育局依据市财政局批复的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201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9</w:t>
      </w:r>
      <w:r>
        <w:rPr>
          <w:rFonts w:eastAsia="仿宋_GB2312" w:asciiTheme="majorBidi" w:cstheme="majorBidi"/>
          <w:sz w:val="32"/>
          <w:szCs w:val="32"/>
          <w:lang w:eastAsia="zh-CN"/>
        </w:rPr>
        <w:t>年各校（园）决算支出数进行测算，结合协议约定比例，呈贡区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202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1</w:t>
      </w:r>
      <w:r>
        <w:rPr>
          <w:rFonts w:eastAsia="仿宋_GB2312" w:asciiTheme="majorBidi" w:cstheme="majorBidi"/>
          <w:sz w:val="32"/>
          <w:szCs w:val="32"/>
          <w:lang w:eastAsia="zh-CN"/>
        </w:rPr>
        <w:t>年安排市教工一幼白龙潭园区合作办学经费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809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.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325399</w:t>
      </w:r>
      <w:r>
        <w:rPr>
          <w:rFonts w:eastAsia="仿宋_GB2312" w:asciiTheme="majorBidi" w:cstheme="majorBidi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 w:asciiTheme="majorBidi" w:hAnsiTheme="majorBidi" w:cstheme="majorBidi"/>
          <w:sz w:val="32"/>
          <w:szCs w:val="32"/>
          <w:lang w:eastAsia="zh-CN"/>
        </w:rPr>
      </w:pPr>
      <w:r>
        <w:rPr>
          <w:rFonts w:hAnsi="黑体" w:eastAsia="黑体" w:asciiTheme="majorBidi" w:cstheme="majorBidi"/>
          <w:sz w:val="32"/>
          <w:szCs w:val="32"/>
          <w:lang w:eastAsia="zh-CN"/>
        </w:rPr>
        <w:t>二、项目</w:t>
      </w:r>
      <w:r>
        <w:rPr>
          <w:rFonts w:hint="eastAsia" w:hAnsi="黑体" w:eastAsia="黑体" w:asciiTheme="majorBidi" w:cstheme="majorBidi"/>
          <w:sz w:val="32"/>
          <w:szCs w:val="32"/>
          <w:lang w:eastAsia="zh-CN"/>
        </w:rPr>
        <w:t>资金使用和管理</w:t>
      </w:r>
      <w:r>
        <w:rPr>
          <w:rFonts w:hAnsi="黑体" w:eastAsia="黑体" w:asciiTheme="majorBidi" w:cstheme="majorBidi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 w:asciiTheme="majorBidi" w:hAnsiTheme="majorBidi" w:cstheme="majorBidi"/>
          <w:sz w:val="32"/>
          <w:szCs w:val="32"/>
          <w:lang w:eastAsia="zh-CN"/>
        </w:rPr>
      </w:pP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202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1</w:t>
      </w:r>
      <w:r>
        <w:rPr>
          <w:rFonts w:eastAsia="仿宋_GB2312" w:asciiTheme="majorBidi" w:cstheme="majorBidi"/>
          <w:sz w:val="32"/>
          <w:szCs w:val="32"/>
          <w:lang w:eastAsia="zh-CN"/>
        </w:rPr>
        <w:t>年呈贡区财政下达昆明市教育局与呈贡区合作办学经费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809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.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3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2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5399</w:t>
      </w:r>
      <w:r>
        <w:rPr>
          <w:rFonts w:eastAsia="仿宋_GB2312" w:asciiTheme="majorBidi" w:cstheme="majorBidi"/>
          <w:sz w:val="32"/>
          <w:szCs w:val="32"/>
          <w:lang w:eastAsia="zh-CN"/>
        </w:rPr>
        <w:t>万元，资金到位率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100</w:t>
      </w:r>
      <w:r>
        <w:rPr>
          <w:rFonts w:eastAsia="仿宋_GB2312" w:asciiTheme="majorBidi" w:cstheme="majorBidi"/>
          <w:sz w:val="32"/>
          <w:szCs w:val="32"/>
          <w:lang w:eastAsia="zh-CN"/>
        </w:rPr>
        <w:t>％。资金下达后，区教育体育局严格按照流程将专项经费及时、足额拨付到学校，并督促学校加强资金管理，确保专款专用。</w:t>
      </w:r>
      <w:r>
        <w:rPr>
          <w:rFonts w:eastAsia="仿宋_GB2312" w:asciiTheme="majorBidi" w:hAnsiTheme="majorBidi" w:cstheme="majorBidi"/>
          <w:spacing w:val="-20"/>
          <w:sz w:val="32"/>
          <w:szCs w:val="32"/>
          <w:lang w:eastAsia="zh-CN"/>
        </w:rPr>
        <w:t>学校收到资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809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.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3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2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5399</w:t>
      </w:r>
      <w:r>
        <w:rPr>
          <w:rFonts w:eastAsia="仿宋_GB2312" w:asciiTheme="majorBidi" w:hAnsiTheme="majorBidi" w:cstheme="majorBidi"/>
          <w:spacing w:val="-20"/>
          <w:sz w:val="32"/>
          <w:szCs w:val="32"/>
          <w:lang w:eastAsia="zh-CN"/>
        </w:rPr>
        <w:t>万元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，实际支出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809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.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3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2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5399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万元，主要用于以下1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5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>个项目：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1.临聘人员经费420万元； 2.校园安保服务经费80.4523万元； 3.室内照明灯更换专项资金35.6505万元；4.厨房局部改造专项经费13.24565万元；5.校园文化建设项目40万元；6.户外局部区域改造经费32.016万元； 7.幼儿储物柜定做安装专项经费53.09608万元；8.新增厨房设备专项经费13.9858万元；9.新增教学设备专项经费11.6141万元；10.新增办公设备专项经费38.173869万元；11.户外监控维护、线路改造及预设点位摄像</w:t>
      </w:r>
      <w:r>
        <w:rPr>
          <w:rFonts w:hint="eastAsia" w:eastAsia="仿宋_GB2312" w:asciiTheme="majorBidi" w:hAnsiTheme="majorBidi" w:cstheme="majorBidi"/>
          <w:spacing w:val="-20"/>
          <w:sz w:val="32"/>
          <w:szCs w:val="32"/>
          <w:lang w:eastAsia="zh-CN"/>
        </w:rPr>
        <w:t>头采购安装经费19.5646万元；12.户外游戏器械采购经费23.0888万元；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13.教师专业书籍采购专项经费1.3381万元；14.改造项目监理费用7.0996万元；15.资产二维码信息化管理经费20万元。</w:t>
      </w:r>
    </w:p>
    <w:p>
      <w:pPr>
        <w:keepNext w:val="0"/>
        <w:keepLines w:val="0"/>
        <w:pageBreakBefore w:val="0"/>
        <w:tabs>
          <w:tab w:val="left" w:pos="5346"/>
        </w:tabs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项目组织实施</w:t>
      </w:r>
      <w:r>
        <w:rPr>
          <w:rFonts w:ascii="Times New Roman" w:hAnsi="Times New Roman" w:eastAsia="黑体" w:cs="Times New Roman"/>
          <w:sz w:val="32"/>
          <w:szCs w:val="32"/>
          <w:lang w:eastAsia="zh-CN"/>
        </w:rPr>
        <w:t>情况</w:t>
      </w:r>
      <w:r>
        <w:rPr>
          <w:rFonts w:ascii="Times New Roman" w:hAnsi="Times New Roman" w:eastAsia="黑体" w:cs="Times New Roman"/>
          <w:szCs w:val="32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eastAsia="仿宋_GB2312" w:asciiTheme="majorBidi" w:cstheme="majorBidi"/>
          <w:sz w:val="32"/>
          <w:szCs w:val="32"/>
          <w:lang w:eastAsia="zh-CN"/>
        </w:rPr>
        <w:t>为</w:t>
      </w:r>
      <w:r>
        <w:rPr>
          <w:rFonts w:eastAsia="仿宋_GB2312" w:asciiTheme="majorBidi" w:cstheme="majorBidi"/>
          <w:sz w:val="32"/>
          <w:szCs w:val="32"/>
          <w:lang w:eastAsia="zh-CN"/>
        </w:rPr>
        <w:t>进一步规范学校办学行为</w:t>
      </w:r>
      <w:r>
        <w:rPr>
          <w:rFonts w:hint="eastAsia" w:eastAsia="仿宋_GB2312" w:asciiTheme="majorBidi" w:cstheme="majorBidi"/>
          <w:sz w:val="32"/>
          <w:szCs w:val="32"/>
          <w:lang w:eastAsia="zh-CN"/>
        </w:rPr>
        <w:t>，</w:t>
      </w:r>
      <w:r>
        <w:rPr>
          <w:rFonts w:eastAsia="仿宋_GB2312" w:asciiTheme="majorBidi" w:cstheme="majorBidi"/>
          <w:sz w:val="32"/>
          <w:szCs w:val="32"/>
          <w:lang w:eastAsia="zh-CN"/>
        </w:rPr>
        <w:t>在经费的收支预算执行过程中，我们严格按照《合作办学协议》</w:t>
      </w:r>
      <w:r>
        <w:rPr>
          <w:rFonts w:hint="eastAsia" w:eastAsia="仿宋_GB2312" w:asciiTheme="majorBidi" w:cstheme="majorBidi"/>
          <w:sz w:val="32"/>
          <w:szCs w:val="32"/>
          <w:lang w:eastAsia="zh-CN"/>
        </w:rPr>
        <w:t>，</w:t>
      </w:r>
      <w:r>
        <w:rPr>
          <w:rFonts w:eastAsia="仿宋_GB2312" w:asciiTheme="majorBidi" w:cstheme="majorBidi"/>
          <w:sz w:val="32"/>
          <w:szCs w:val="32"/>
          <w:lang w:eastAsia="zh-CN"/>
        </w:rPr>
        <w:t>将合作办学经费项目纳入部门财政资金预算，在财政资金下达后，严格按照财政预算批复数将专项经费及时、足额拨付到学校。</w:t>
      </w:r>
      <w:r>
        <w:rPr>
          <w:rFonts w:hint="eastAsia" w:ascii="仿宋_GB2312" w:eastAsia="仿宋_GB2312"/>
          <w:sz w:val="32"/>
          <w:szCs w:val="32"/>
          <w:lang w:eastAsia="zh-CN"/>
        </w:rPr>
        <w:t>市、区两级教育主管部门严格监督学校按照相关程序完成项目实施。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 w:asciiTheme="majorBidi" w:hAnsiTheme="majorBidi" w:cstheme="majorBidi"/>
          <w:sz w:val="32"/>
          <w:szCs w:val="32"/>
          <w:lang w:eastAsia="zh-CN"/>
        </w:rPr>
      </w:pPr>
      <w:r>
        <w:rPr>
          <w:rFonts w:hint="eastAsia" w:eastAsia="仿宋_GB2312" w:asciiTheme="majorBidi" w:cstheme="majorBidi"/>
          <w:sz w:val="32"/>
          <w:szCs w:val="32"/>
          <w:lang w:eastAsia="zh-CN"/>
        </w:rPr>
        <w:t>幼儿园</w:t>
      </w:r>
      <w:r>
        <w:rPr>
          <w:rFonts w:eastAsia="仿宋_GB2312" w:asciiTheme="majorBidi" w:cstheme="majorBidi"/>
          <w:sz w:val="32"/>
          <w:szCs w:val="32"/>
          <w:lang w:eastAsia="zh-CN"/>
        </w:rPr>
        <w:t>制定《昆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 xml:space="preserve"> </w:t>
      </w:r>
      <w:r>
        <w:rPr>
          <w:rFonts w:eastAsia="仿宋_GB2312" w:asciiTheme="majorBidi" w:cstheme="majorBidi"/>
          <w:sz w:val="32"/>
          <w:szCs w:val="32"/>
          <w:lang w:eastAsia="zh-CN"/>
        </w:rPr>
        <w:t>明市教工第一幼儿园临时聘用人员薪酬管理办法》</w:t>
      </w:r>
      <w:r>
        <w:rPr>
          <w:rFonts w:hint="eastAsia" w:eastAsia="仿宋_GB2312" w:asciiTheme="majorBidi" w:cstheme="majorBidi"/>
          <w:sz w:val="32"/>
          <w:szCs w:val="32"/>
          <w:lang w:eastAsia="zh-CN"/>
        </w:rPr>
        <w:t>规范</w:t>
      </w:r>
      <w:r>
        <w:rPr>
          <w:rFonts w:eastAsia="仿宋_GB2312" w:asciiTheme="majorBidi" w:cstheme="majorBidi"/>
          <w:sz w:val="32"/>
          <w:szCs w:val="32"/>
          <w:lang w:eastAsia="zh-CN"/>
        </w:rPr>
        <w:t>人员工资发放，</w:t>
      </w:r>
      <w:r>
        <w:rPr>
          <w:rFonts w:hint="eastAsia" w:eastAsia="仿宋_GB2312" w:asciiTheme="majorBidi" w:cstheme="majorBidi"/>
          <w:sz w:val="32"/>
          <w:szCs w:val="32"/>
          <w:lang w:eastAsia="zh-CN"/>
        </w:rPr>
        <w:t>制定</w:t>
      </w:r>
      <w:r>
        <w:rPr>
          <w:rFonts w:eastAsia="仿宋_GB2312" w:asciiTheme="majorBidi" w:cstheme="majorBidi"/>
          <w:sz w:val="32"/>
          <w:szCs w:val="32"/>
          <w:lang w:eastAsia="zh-CN"/>
        </w:rPr>
        <w:t>《昆明市教工第一幼儿园内控制度》规范项目资金的使用。成立项目资金管理领导小组、项目实施工作领导小组，明确具体负责人、财务部门做好资金的管理和使用，切实有效地保证了财政资金专款专用，保证预算经费能达到预期的使用效果。</w:t>
      </w:r>
      <w:r>
        <w:rPr>
          <w:rFonts w:eastAsia="仿宋_GB2312" w:asciiTheme="majorBidi" w:hAnsiTheme="majorBidi" w:cstheme="majorBidi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针对设施设备的</w:t>
      </w:r>
      <w:r>
        <w:rPr>
          <w:rFonts w:hint="eastAsia" w:eastAsia="仿宋_GB2312"/>
          <w:sz w:val="32"/>
          <w:szCs w:val="32"/>
          <w:lang w:eastAsia="zh-CN"/>
        </w:rPr>
        <w:t>采购，幼儿园对项目设备供应商进行现场勘探，出具项目方案，确定方案后再由学校分管领导审核，拟定合同，由学校相关部门审核合同条款无误后签署合同，签订合同后进入备货、供货及设备安装阶段。按照有关规定和签署合同的规定，落实完成各类项目的采购任务，组织验收小组对项目进行验收。针对工程项目，严格按照招投标程序执行，完成各个项目的合同签订、项目实施、项目验收及资金支付工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 w:asciiTheme="majorBidi" w:hAnsiTheme="majorBidi" w:cstheme="majorBidi"/>
          <w:sz w:val="32"/>
          <w:szCs w:val="32"/>
          <w:lang w:eastAsia="zh-CN"/>
        </w:rPr>
      </w:pPr>
      <w:r>
        <w:rPr>
          <w:rFonts w:eastAsia="仿宋_GB2312" w:asciiTheme="majorBidi" w:cstheme="majorBidi"/>
          <w:sz w:val="32"/>
          <w:szCs w:val="32"/>
          <w:lang w:eastAsia="zh-CN"/>
        </w:rPr>
        <w:t>学校严格按项目计划和规定用途专款专用，将资金用于教师住房补助，不拖欠、不截留，此专项经费支出规范、合理，无虚列、虚报冒领和挤占挪用的现象。</w:t>
      </w:r>
      <w:r>
        <w:rPr>
          <w:rFonts w:eastAsia="黑体" w:asciiTheme="majorBidi" w:hAnsiTheme="majorBidi" w:cstheme="majorBidi"/>
          <w:szCs w:val="32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  <w:t>（一）项目的经济性分析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合作办学经费预算安排幼儿园2021年项目支出经809.325399万元，实际到位809.325399万元，</w:t>
      </w:r>
      <w:r>
        <w:rPr>
          <w:rFonts w:hint="eastAsia" w:ascii="仿宋_GB2312" w:eastAsia="仿宋_GB2312"/>
          <w:sz w:val="32"/>
          <w:szCs w:val="32"/>
          <w:lang w:eastAsia="zh-CN"/>
        </w:rPr>
        <w:t>依据相关法律法规，资金得到正常、合理、合法的使用，各项绩效目标完成。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  <w:t>(二)项目的有效性分析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按照有关规定和签署合同的规定，落实完成各类项目的采购任务，组织验收小组对项目进行验收，有计划、有组织、有监督地稳步推动项目总体目标的全面实现。</w:t>
      </w:r>
      <w:r>
        <w:rPr>
          <w:rFonts w:hint="eastAsia" w:ascii="仿宋_GB2312" w:hAnsi="Times New Roman" w:eastAsia="仿宋_GB2312" w:cstheme="majorBidi"/>
          <w:sz w:val="32"/>
          <w:szCs w:val="32"/>
          <w:lang w:eastAsia="zh-CN"/>
        </w:rPr>
        <w:t>截止</w:t>
      </w:r>
      <w:r>
        <w:rPr>
          <w:rFonts w:hint="eastAsia" w:ascii="仿宋_GB2312" w:eastAsia="仿宋_GB2312" w:hAnsiTheme="majorBidi" w:cstheme="majorBidi"/>
          <w:sz w:val="32"/>
          <w:szCs w:val="32"/>
          <w:lang w:eastAsia="zh-CN"/>
        </w:rPr>
        <w:t>2021</w:t>
      </w:r>
      <w:r>
        <w:rPr>
          <w:rFonts w:hint="eastAsia" w:ascii="仿宋_GB2312" w:hAnsi="Times New Roman" w:eastAsia="仿宋_GB2312" w:cstheme="majorBidi"/>
          <w:sz w:val="32"/>
          <w:szCs w:val="32"/>
          <w:lang w:eastAsia="zh-CN"/>
        </w:rPr>
        <w:t>年</w:t>
      </w:r>
      <w:r>
        <w:rPr>
          <w:rFonts w:hint="eastAsia" w:ascii="仿宋_GB2312" w:eastAsia="仿宋_GB2312" w:hAnsiTheme="majorBidi" w:cstheme="majorBidi"/>
          <w:sz w:val="32"/>
          <w:szCs w:val="32"/>
          <w:lang w:eastAsia="zh-CN"/>
        </w:rPr>
        <w:t>12</w:t>
      </w:r>
      <w:r>
        <w:rPr>
          <w:rFonts w:hint="eastAsia" w:ascii="仿宋_GB2312" w:hAnsi="Times New Roman" w:eastAsia="仿宋_GB2312" w:cstheme="majorBidi"/>
          <w:sz w:val="32"/>
          <w:szCs w:val="32"/>
          <w:lang w:eastAsia="zh-CN"/>
        </w:rPr>
        <w:t>月，项目所实施的内容已按要求完成，学校按要求把合作办学经费进行了分账核算，按照适用范围列支。</w:t>
      </w:r>
      <w:r>
        <w:rPr>
          <w:rFonts w:hint="eastAsia" w:ascii="仿宋_GB2312" w:eastAsia="仿宋_GB2312" w:hAnsiTheme="majorBidi" w:cstheme="majorBidi"/>
          <w:sz w:val="32"/>
          <w:szCs w:val="32"/>
          <w:lang w:eastAsia="zh-CN"/>
        </w:rPr>
        <w:t>2021</w:t>
      </w:r>
      <w:r>
        <w:rPr>
          <w:rFonts w:hint="eastAsia" w:ascii="仿宋_GB2312" w:hAnsi="Times New Roman" w:eastAsia="仿宋_GB2312" w:cstheme="majorBidi"/>
          <w:sz w:val="32"/>
          <w:szCs w:val="32"/>
          <w:lang w:eastAsia="zh-CN"/>
        </w:rPr>
        <w:t>年度该项目资金严格按照项目管理制度规定执行，学校资金使用合规、合法，项目完成质量较好。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  <w:t>（三）项目的效益性分析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幼儿园将合作办学经费主要用于校舍修缮、新增设施设备、“三防建设”等方面，旨在改善办园条件，为幼儿创设安全、卫生、舒适、愉快的环境，以保证孩子健康、快乐地成长。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 w:cstheme="majorBidi"/>
          <w:spacing w:val="-23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theme="majorBidi"/>
          <w:sz w:val="32"/>
          <w:szCs w:val="32"/>
          <w:lang w:eastAsia="zh-CN"/>
        </w:rPr>
        <w:t>因为有财政资金的支持，</w:t>
      </w:r>
      <w:r>
        <w:rPr>
          <w:rFonts w:hint="eastAsia" w:ascii="仿宋_GB2312" w:eastAsia="仿宋_GB2312" w:cstheme="majorBidi"/>
          <w:spacing w:val="-23"/>
          <w:sz w:val="32"/>
          <w:szCs w:val="32"/>
          <w:lang w:eastAsia="zh-CN"/>
        </w:rPr>
        <w:t>保证了教育教学顺利开展，保证幼儿园的身体健康发展、舒适的学习环境与活动环境，满足幼儿园所在区域适</w:t>
      </w:r>
      <w:r>
        <w:rPr>
          <w:rFonts w:hint="eastAsia" w:ascii="仿宋_GB2312" w:eastAsia="仿宋_GB2312" w:hAnsiTheme="majorBidi" w:cstheme="majorBidi"/>
          <w:spacing w:val="-15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 w:cstheme="majorBidi"/>
          <w:spacing w:val="-23"/>
          <w:sz w:val="32"/>
          <w:szCs w:val="32"/>
          <w:lang w:eastAsia="zh-CN"/>
        </w:rPr>
        <w:t>龄幼儿对优质教育的需求，为打造优质学前教育提供有力保障。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theme="majorBidi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ajorBidi"/>
          <w:bCs/>
          <w:sz w:val="32"/>
          <w:szCs w:val="32"/>
          <w:lang w:eastAsia="zh-CN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  <w:t>（一）专项管理方面的问题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theme="majorBidi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theme="majorBidi"/>
          <w:sz w:val="32"/>
          <w:szCs w:val="32"/>
          <w:lang w:eastAsia="zh-CN"/>
        </w:rPr>
        <w:t>本次2021年度项目专项立项依据充分，学校具有相关的财务制度和业务管理制度，项目的设立、实施过程能按照相关管理制度执行，过程基本规范，保障项目的顺利实施。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theme="majorBidi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  <w:t>（二）资金分配方面的问题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theme="majorBidi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theme="majorBidi"/>
          <w:sz w:val="32"/>
          <w:szCs w:val="32"/>
          <w:lang w:eastAsia="zh-CN"/>
        </w:rPr>
        <w:t>资金分配合理，突出重点，公平公正，无散、小、差现象；资金分配和使用方向与资金管理办法相符。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  <w:t>（三）资金拨付方面的问题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theme="majorBidi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theme="majorBidi"/>
          <w:sz w:val="32"/>
          <w:szCs w:val="32"/>
          <w:lang w:eastAsia="zh-CN"/>
        </w:rPr>
        <w:t>项目按时完成，资金及时拨付。无滞留、闲置等现象。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eastAsia="zh-CN"/>
        </w:rPr>
        <w:t>（四）资金使用方面的问题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theme="majorBidi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theme="majorBidi"/>
          <w:sz w:val="32"/>
          <w:szCs w:val="32"/>
          <w:lang w:eastAsia="zh-CN"/>
        </w:rPr>
        <w:t>资金使用合规，不存在截留、挤占、挪用、虚列支出等情况。资金使用产生了一系列有益效益。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theme="majorBidi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ajorBidi"/>
          <w:bCs/>
          <w:sz w:val="32"/>
          <w:szCs w:val="32"/>
          <w:lang w:eastAsia="zh-CN"/>
        </w:rPr>
        <w:t>六、其他需说明的问题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theme="majorBidi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theme="majorBidi"/>
          <w:sz w:val="32"/>
          <w:szCs w:val="32"/>
          <w:lang w:eastAsia="zh-CN"/>
        </w:rPr>
        <w:t>积极与项目供应商保持联系，明确双方权力与责任，做好项目的后续维护和保养工作，呼吁项目服务对象爱护采购的设施设备，使项目资金形成的资产发挥长效效应。</w:t>
      </w:r>
    </w:p>
    <w:p>
      <w:pPr>
        <w:spacing w:line="560" w:lineRule="exact"/>
        <w:ind w:left="5461"/>
        <w:rPr>
          <w:rFonts w:eastAsia="仿宋_GB2312" w:asciiTheme="majorBidi" w:hAnsiTheme="majorBidi" w:cstheme="majorBidi"/>
          <w:sz w:val="20"/>
          <w:szCs w:val="20"/>
          <w:lang w:eastAsia="zh-CN"/>
        </w:rPr>
      </w:pPr>
    </w:p>
    <w:sectPr>
      <w:pgSz w:w="11910" w:h="16840"/>
      <w:pgMar w:top="1580" w:right="15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A7264"/>
    <w:rsid w:val="000150C2"/>
    <w:rsid w:val="00016538"/>
    <w:rsid w:val="000241ED"/>
    <w:rsid w:val="00054C80"/>
    <w:rsid w:val="0010137A"/>
    <w:rsid w:val="00101E99"/>
    <w:rsid w:val="00137A4C"/>
    <w:rsid w:val="001B0820"/>
    <w:rsid w:val="0022089B"/>
    <w:rsid w:val="004218C4"/>
    <w:rsid w:val="004257BD"/>
    <w:rsid w:val="004616C2"/>
    <w:rsid w:val="004A1BFC"/>
    <w:rsid w:val="005C1046"/>
    <w:rsid w:val="00617AB9"/>
    <w:rsid w:val="00691A44"/>
    <w:rsid w:val="006B43F5"/>
    <w:rsid w:val="006E16A5"/>
    <w:rsid w:val="00745653"/>
    <w:rsid w:val="007931C9"/>
    <w:rsid w:val="007B56EA"/>
    <w:rsid w:val="008764FF"/>
    <w:rsid w:val="008C61C2"/>
    <w:rsid w:val="008D2898"/>
    <w:rsid w:val="008F1C26"/>
    <w:rsid w:val="00960F47"/>
    <w:rsid w:val="00973C20"/>
    <w:rsid w:val="00A3354F"/>
    <w:rsid w:val="00A75086"/>
    <w:rsid w:val="00B046DB"/>
    <w:rsid w:val="00B51E38"/>
    <w:rsid w:val="00B51E91"/>
    <w:rsid w:val="00CE625D"/>
    <w:rsid w:val="00D10433"/>
    <w:rsid w:val="00D52EF1"/>
    <w:rsid w:val="00DA7264"/>
    <w:rsid w:val="00DE7521"/>
    <w:rsid w:val="00E01D57"/>
    <w:rsid w:val="00E100AB"/>
    <w:rsid w:val="00F653D0"/>
    <w:rsid w:val="00F66360"/>
    <w:rsid w:val="00F67BB6"/>
    <w:rsid w:val="00F94025"/>
    <w:rsid w:val="08404769"/>
    <w:rsid w:val="0C0F4CA9"/>
    <w:rsid w:val="1733305D"/>
    <w:rsid w:val="17AE7E39"/>
    <w:rsid w:val="333B1AE8"/>
    <w:rsid w:val="41703329"/>
    <w:rsid w:val="4549510F"/>
    <w:rsid w:val="585A59BA"/>
    <w:rsid w:val="5FB70F81"/>
    <w:rsid w:val="60C76855"/>
    <w:rsid w:val="68D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_GB2312" w:hAnsi="仿宋_GB2312" w:eastAsia="仿宋_GB2312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  <w:style w:type="paragraph" w:customStyle="1" w:styleId="8">
    <w:name w:val="p0"/>
    <w:basedOn w:val="1"/>
    <w:qFormat/>
    <w:uiPriority w:val="0"/>
    <w:pPr>
      <w:widowControl/>
      <w:jc w:val="both"/>
    </w:pPr>
    <w:rPr>
      <w:rFonts w:ascii="Calibri" w:hAnsi="Calibri" w:eastAsia="宋体" w:cs="Times New Roman"/>
      <w:sz w:val="24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359</Words>
  <Characters>2051</Characters>
  <Lines>17</Lines>
  <Paragraphs>4</Paragraphs>
  <TotalTime>129</TotalTime>
  <ScaleCrop>false</ScaleCrop>
  <LinksUpToDate>false</LinksUpToDate>
  <CharactersWithSpaces>2406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2021-03-31T02:27:00Z</dcterms:created>
  <dc:creator>jyjcg</dc:creator>
  <cp:lastModifiedBy>LMD</cp:lastModifiedBy>
  <dcterms:modified xsi:type="dcterms:W3CDTF">2022-09-27T09:45:56Z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2021-03-31T00:00:00Z</vt:filetime>
  </property>
  <property fmtid="{D5CDD505-2E9C-101B-9397-08002B2CF9AE}" pid="5" name="KSOProductBuildVer">
    <vt:lpwstr>2052-11.8.6.8722</vt:lpwstr>
  </property>
</Properties>
</file>