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pacing w:val="-23"/>
          <w:sz w:val="44"/>
          <w:szCs w:val="44"/>
        </w:rPr>
      </w:pPr>
      <w:r>
        <w:rPr>
          <w:rFonts w:hint="eastAsia" w:ascii="方正小标宋简体" w:hAnsi="方正小标宋简体" w:eastAsia="方正小标宋简体"/>
          <w:spacing w:val="-23"/>
          <w:sz w:val="44"/>
          <w:szCs w:val="44"/>
        </w:rPr>
        <w:t>昆明市呈贡区教育体育发展综合服务中心</w:t>
      </w:r>
    </w:p>
    <w:p>
      <w:pPr>
        <w:spacing w:line="600" w:lineRule="exact"/>
        <w:jc w:val="center"/>
        <w:rPr>
          <w:rFonts w:ascii="方正小标宋简体" w:hAnsi="方正小标宋简体" w:eastAsia="方正小标宋简体"/>
          <w:spacing w:val="-23"/>
          <w:sz w:val="44"/>
          <w:szCs w:val="44"/>
        </w:rPr>
      </w:pPr>
      <w:r>
        <w:rPr>
          <w:rFonts w:hint="eastAsia" w:ascii="方正小标宋简体" w:hAnsi="方正小标宋简体" w:eastAsia="方正小标宋简体"/>
          <w:spacing w:val="-23"/>
          <w:sz w:val="44"/>
          <w:szCs w:val="44"/>
        </w:rPr>
        <w:t>关于昆明西南联大研究院附属学校办学补助经费</w:t>
      </w:r>
    </w:p>
    <w:p>
      <w:pPr>
        <w:spacing w:line="600" w:lineRule="exact"/>
        <w:jc w:val="center"/>
        <w:rPr>
          <w:rFonts w:ascii="方正小标宋简体" w:eastAsia="方正小标宋简体"/>
          <w:b/>
          <w:sz w:val="44"/>
          <w:szCs w:val="44"/>
        </w:rPr>
      </w:pPr>
      <w:r>
        <w:rPr>
          <w:rFonts w:hint="eastAsia" w:ascii="方正小标宋简体" w:hAnsi="方正小标宋简体" w:eastAsia="方正小标宋简体"/>
          <w:spacing w:val="-23"/>
          <w:sz w:val="44"/>
          <w:szCs w:val="44"/>
        </w:rPr>
        <w:t>项目支出绩效报告</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黑体" w:hAnsi="黑体" w:eastAsia="黑体"/>
          <w:szCs w:val="32"/>
          <w:shd w:val="clear" w:color="auto" w:fill="FFFFFF"/>
        </w:rPr>
      </w:pP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黑体" w:hAnsi="黑体" w:eastAsia="黑体"/>
          <w:szCs w:val="32"/>
          <w:shd w:val="clear" w:color="auto" w:fill="FFFFFF"/>
        </w:rPr>
      </w:pPr>
      <w:r>
        <w:rPr>
          <w:rFonts w:ascii="黑体" w:hAnsi="黑体" w:eastAsia="黑体"/>
          <w:szCs w:val="32"/>
          <w:shd w:val="clear" w:color="auto" w:fill="FFFFFF"/>
        </w:rPr>
        <w:t>一、基本情况</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楷体_GB2312" w:eastAsia="楷体_GB2312"/>
        </w:rPr>
      </w:pPr>
      <w:r>
        <w:rPr>
          <w:rFonts w:hint="eastAsia" w:ascii="楷体_GB2312" w:eastAsia="楷体_GB2312"/>
        </w:rPr>
        <w:t>（一）项目概况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pPr>
      <w:r>
        <w:rPr>
          <w:rFonts w:hint="eastAsia"/>
        </w:rPr>
        <w:t>昆明西南联大研究院附属学校是昆明市教育局直属学校，单位性质为公益二类事业单位，财政拨款方式为财政差额拨款。学校于2017年9月正式开学，随着招生人数的增加，原有设施设备已经不能满足学校的正常运行，需要对原有设施设备进行补充，进一步改善教学条件。从而实现充分利用财政专款、持续投入基础设施设备建设、不断改善教学条件、创造良好育人环境的目的。</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pPr>
      <w:r>
        <w:rPr>
          <w:rFonts w:hint="eastAsia"/>
        </w:rPr>
        <w:t>根据《昆明市人民政府办公厅关于印发举办西南联大附属学校实施方案的通知》（昆政办〔2016〕147号）中“市级承担教学设施设备经费（除呈贡区给予定额4000万元补助外）”的文件要求，呈贡区需定额补助学校4000万元补助用于设施设备。根据学校办学发展与实际，2021年区教育体育局预算“昆明西南联大研究院附属学校办学补助经费”400万元用于昆明西南联大研究院附属学校改善办学条件。</w:t>
      </w:r>
    </w:p>
    <w:p>
      <w:pPr>
        <w:keepNext w:val="0"/>
        <w:keepLines w:val="0"/>
        <w:pageBreakBefore w:val="0"/>
        <w:widowControl/>
        <w:kinsoku/>
        <w:wordWrap/>
        <w:overflowPunct/>
        <w:topLinePunct w:val="0"/>
        <w:autoSpaceDE/>
        <w:autoSpaceDN/>
        <w:bidi w:val="0"/>
        <w:adjustRightInd/>
        <w:snapToGrid/>
        <w:spacing w:line="560" w:lineRule="exact"/>
        <w:ind w:firstLine="594" w:firstLineChars="200"/>
        <w:textAlignment w:val="auto"/>
        <w:rPr>
          <w:rFonts w:hint="eastAsia" w:ascii="楷体_GB2312" w:eastAsia="楷体_GB2312"/>
        </w:rPr>
      </w:pPr>
      <w:r>
        <w:rPr>
          <w:rFonts w:hint="eastAsia" w:ascii="楷体_GB2312" w:eastAsia="楷体_GB2312"/>
        </w:rPr>
        <w:t>（二）项目绩效目标</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pPr>
      <w:r>
        <w:rPr>
          <w:rFonts w:hint="eastAsia"/>
        </w:rPr>
        <w:t>昆明西南联大研究院附属学校办学补助经费</w:t>
      </w:r>
      <w:r>
        <w:t>按时按量到位，有效</w:t>
      </w:r>
      <w:r>
        <w:rPr>
          <w:rFonts w:hint="eastAsia"/>
        </w:rPr>
        <w:t>改善了学校的办学条件，</w:t>
      </w:r>
      <w:r>
        <w:t>保障学校教育教学工作正常开展，学校处于良性发展态势，助力提升区域</w:t>
      </w:r>
      <w:r>
        <w:rPr>
          <w:rFonts w:hint="eastAsia"/>
        </w:rPr>
        <w:t>教育发展水平</w:t>
      </w:r>
      <w:r>
        <w:t>，让人民群众可以接受更丰富、更优质、更满意的教育。</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黑体" w:hAnsi="黑体" w:eastAsia="黑体"/>
        </w:rPr>
      </w:pPr>
      <w:r>
        <w:rPr>
          <w:rFonts w:ascii="黑体" w:hAnsi="黑体" w:eastAsia="黑体"/>
        </w:rPr>
        <w:t>二、项目</w:t>
      </w:r>
      <w:r>
        <w:rPr>
          <w:rFonts w:hint="eastAsia" w:ascii="黑体" w:hAnsi="黑体" w:eastAsia="黑体"/>
        </w:rPr>
        <w:t>资金使用和管理</w:t>
      </w:r>
      <w:r>
        <w:rPr>
          <w:rFonts w:ascii="黑体" w:hAnsi="黑体" w:eastAsia="黑体"/>
        </w:rPr>
        <w:t>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pPr>
      <w:r>
        <w:rPr>
          <w:rFonts w:hint="eastAsia"/>
        </w:rPr>
        <w:t>昆明西南联大研究院附属学校办学补助经费项目</w:t>
      </w:r>
      <w:r>
        <w:t>年初进行预算，20</w:t>
      </w:r>
      <w:r>
        <w:rPr>
          <w:rFonts w:hint="eastAsia"/>
        </w:rPr>
        <w:t>21</w:t>
      </w:r>
      <w:r>
        <w:t>年呈贡区财政预算安排相关经费</w:t>
      </w:r>
      <w:r>
        <w:rPr>
          <w:rFonts w:hint="eastAsia"/>
        </w:rPr>
        <w:t>400</w:t>
      </w:r>
      <w:r>
        <w:t>万元，资金到位率100％。资金下达后，区教育体育</w:t>
      </w:r>
      <w:r>
        <w:rPr>
          <w:rFonts w:hint="eastAsia"/>
          <w:lang w:eastAsia="zh-CN"/>
        </w:rPr>
        <w:t>发展综合服务中心</w:t>
      </w:r>
      <w:r>
        <w:t>严格按照预算批复数将专项经费及时、足额拨付到学校，并督促学校加强资金管理，确保专款专用。</w:t>
      </w:r>
      <w:r>
        <w:rPr>
          <w:rFonts w:hint="eastAsia"/>
        </w:rPr>
        <w:t>截至2022年3月15日，已签订合同总金额410.4998万元，其中包括：三个学部教学楼男厕小便池改造成感应小便池项目，金额39.38万元，已完成支付；</w:t>
      </w:r>
      <w:r>
        <w:t>小学部地下车库的地面改造提升</w:t>
      </w:r>
      <w:r>
        <w:rPr>
          <w:rFonts w:hint="eastAsia"/>
        </w:rPr>
        <w:t>项目，金额170.00万元，已完成支付；</w:t>
      </w:r>
      <w:r>
        <w:t>小学部地下车库的地面改造提升</w:t>
      </w:r>
      <w:r>
        <w:rPr>
          <w:rFonts w:hint="eastAsia"/>
        </w:rPr>
        <w:t>项目补充项目，金额16.7998万元，已完成支付；</w:t>
      </w:r>
      <w:r>
        <w:t>7间普通教室、2间音乐改造</w:t>
      </w:r>
      <w:r>
        <w:rPr>
          <w:rFonts w:hint="eastAsia"/>
        </w:rPr>
        <w:t>项目，金额72.49万元，已完成支付；</w:t>
      </w:r>
      <w:r>
        <w:t>教室、实验楼地面清洁及打蜡</w:t>
      </w:r>
      <w:r>
        <w:rPr>
          <w:rFonts w:hint="eastAsia"/>
        </w:rPr>
        <w:t>项目，金额48.58万元，已完成支付；</w:t>
      </w:r>
      <w:r>
        <w:t>化粪池清理3年期</w:t>
      </w:r>
      <w:r>
        <w:rPr>
          <w:rFonts w:hint="eastAsia"/>
        </w:rPr>
        <w:t>项目，金额9万元，已完成当年资金支付3万元；</w:t>
      </w:r>
      <w:r>
        <w:t>教室广播，监控系统</w:t>
      </w:r>
      <w:r>
        <w:rPr>
          <w:rFonts w:hint="eastAsia"/>
        </w:rPr>
        <w:t>扩容项目，金额8.65万元，已完成支付；</w:t>
      </w:r>
      <w:r>
        <w:t>食堂改造、中水站处理及水泵房地面贴砖</w:t>
      </w:r>
      <w:r>
        <w:rPr>
          <w:rFonts w:hint="eastAsia"/>
        </w:rPr>
        <w:t>项目，金额15.1万元，已完成支付；</w:t>
      </w:r>
      <w:r>
        <w:t>实验楼功能室地面升级改造</w:t>
      </w:r>
      <w:r>
        <w:rPr>
          <w:rFonts w:hint="eastAsia"/>
        </w:rPr>
        <w:t>项目，金额30.5万元，已完成支付。</w:t>
      </w:r>
    </w:p>
    <w:p>
      <w:pPr>
        <w:keepNext w:val="0"/>
        <w:keepLines w:val="0"/>
        <w:pageBreakBefore w:val="0"/>
        <w:kinsoku/>
        <w:wordWrap/>
        <w:overflowPunct/>
        <w:autoSpaceDE/>
        <w:autoSpaceDN/>
        <w:bidi w:val="0"/>
        <w:adjustRightInd/>
        <w:snapToGrid/>
        <w:spacing w:line="560" w:lineRule="exact"/>
        <w:ind w:firstLine="594" w:firstLineChars="200"/>
        <w:jc w:val="left"/>
        <w:textAlignment w:val="auto"/>
      </w:pPr>
      <w:r>
        <w:rPr>
          <w:rFonts w:hint="eastAsia"/>
        </w:rPr>
        <w:t>以上已签合同项目现已按合同约定支付价款合计404.4998万元，其中：2021年办学补助经费列支400万元；2020年办学补助经费结余资金列支4.4998万元；合同尾款6万元为</w:t>
      </w:r>
      <w:r>
        <w:t>化粪池清理3年期</w:t>
      </w:r>
      <w:r>
        <w:rPr>
          <w:rFonts w:hint="eastAsia"/>
        </w:rPr>
        <w:t>项目，拟用2022年经费支付。以上项目有详细的资金预算明细和使用安排；有关部门严格把关各项物资的价格和质量，严格规范经费使用审批流程，相关物资购置价格在参照往期类似物资采购价格的同时对比当期多个供应渠道价格后，由招投标确定最终供应商，相关物资的管理也严格参照学校相关规章制度执行，资金使用专款专用。</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黑体" w:hAnsi="黑体" w:eastAsia="黑体"/>
          <w:szCs w:val="32"/>
          <w:shd w:val="clear" w:color="auto" w:fill="FFFFFF"/>
        </w:rPr>
      </w:pPr>
      <w:r>
        <w:rPr>
          <w:rFonts w:ascii="黑体" w:hAnsi="黑体" w:eastAsia="黑体"/>
          <w:szCs w:val="32"/>
          <w:shd w:val="clear" w:color="auto" w:fill="FFFFFF"/>
        </w:rPr>
        <w:t>三、</w:t>
      </w:r>
      <w:r>
        <w:rPr>
          <w:rFonts w:hint="eastAsia" w:ascii="黑体" w:hAnsi="黑体" w:eastAsia="黑体"/>
          <w:szCs w:val="32"/>
          <w:shd w:val="clear" w:color="auto" w:fill="FFFFFF"/>
        </w:rPr>
        <w:t>项目组织实施</w:t>
      </w:r>
      <w:r>
        <w:rPr>
          <w:rFonts w:ascii="黑体" w:hAnsi="黑体" w:eastAsia="黑体"/>
          <w:szCs w:val="32"/>
          <w:shd w:val="clear" w:color="auto" w:fill="FFFFFF"/>
        </w:rPr>
        <w:t>情况</w:t>
      </w:r>
      <w:r>
        <w:rPr>
          <w:rFonts w:ascii="黑体" w:hAnsi="黑体" w:eastAsia="黑体"/>
          <w:szCs w:val="32"/>
          <w:shd w:val="clear" w:color="auto" w:fill="FFFFFF"/>
        </w:rPr>
        <w:tab/>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仿宋_GB2312"/>
          <w:szCs w:val="32"/>
        </w:rPr>
      </w:pPr>
      <w:r>
        <w:rPr>
          <w:rFonts w:ascii="Times New Roman" w:hAnsi="仿宋_GB2312"/>
          <w:szCs w:val="32"/>
          <w:shd w:val="clear" w:color="auto" w:fill="FFFFFF"/>
        </w:rPr>
        <w:t>在经费的收支预算执行过程中，我们严格按照</w:t>
      </w:r>
      <w:r>
        <w:rPr>
          <w:rFonts w:hint="eastAsia"/>
        </w:rPr>
        <w:t>《昆明市人民政府办公厅关于印发举办西南联大附属学校实施方案的通知》</w:t>
      </w:r>
      <w:r>
        <w:rPr>
          <w:rFonts w:ascii="Times New Roman" w:hAnsi="仿宋_GB2312"/>
          <w:szCs w:val="32"/>
          <w:shd w:val="clear" w:color="auto" w:fill="FFFFFF"/>
        </w:rPr>
        <w:t>，将</w:t>
      </w:r>
      <w:r>
        <w:rPr>
          <w:rFonts w:hint="eastAsia"/>
        </w:rPr>
        <w:t>昆明西南联大研究院附属学校办学补助经费</w:t>
      </w:r>
      <w:r>
        <w:rPr>
          <w:rFonts w:ascii="Times New Roman" w:hAnsi="仿宋_GB2312"/>
          <w:szCs w:val="32"/>
          <w:shd w:val="clear" w:color="auto" w:fill="FFFFFF"/>
        </w:rPr>
        <w:t>纳入部门财政资金预算，在财政资金下达后，严格按照财政预算批复数将专项经费及时、足额拨付到学校，同时加强对学校项目资金的管理，确保专款专用，充分发挥财政资金的使用效益。</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学校认真贯彻执行《中华人民共和国政府采购法》《中华人民共和国招标投标法》《云南省2020年政府集中采购目录及标准》等有关规定，通过健全采购机制、强化采购责任，控制采购成本，明确采购目标，制定采购方案等措施，充分发挥财政资金的效用，改善学校办学条件。学校严格规范采购程序，所进行采购的项目需要经过市教育局、财政局、发改委等相关部门审核批准的，须在完成审批手续后，按相关部门批准的方式进行采购。属定点采购或协议供货单位提供的，应从政府定点采购或协议供货单位处采购。不能化整为零，规避采购。同类项目三个月内不得重复采购。</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学校自行采购单项5万元（含）以上或批量5万元（含）以上的大宗物品、5万元（含）以上的维修工程或服务项目，需由学校采购领导小组及监督人员组成的采购评审委员会参与评标，组织不少于三家的响应供应商提出报价及实施方案供学校评比。经过学校反复论证，符合学校采购要求的供应商应给予《成交通知书》，并有专人对整个采购评标过程进行记录和监督，形成会议纪要。</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单项5万元以下或批量5万元以下的小额零星物品采购、5万元以下的维修工程或服务项目，按照“比质比价、货比三家”的询价原则，确保公开透明，降低成本，可以询价采购。</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学校建立采购业务的岗位责任制，明确相关部门和岗位的职责、权限。学校以校级领导为招标采购的领导小组，建立以后勤服务中心为主体，以项目科室负责人、相关专家、教职工代表共同参加的招标采购机构履行采购手续。</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学校采购的货物必须经过严格验收合格后，才可办理入库并按规定付款；学校的所有施工项目在施工过程中，需接受全校师生的监督，在施工结束经相关部门严格验收合格后，方可按规定付款。可移动的商品货物都应到保管室办理入库验收，不可移动的商品货物（如粘贴在墙上的宣传广告）或工程都应组织相关人员办理商品货物或工程项目专项验收。</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黑体" w:hAnsi="黑体" w:eastAsia="黑体"/>
          <w:szCs w:val="32"/>
          <w:shd w:val="clear" w:color="auto" w:fill="FFFFFF"/>
        </w:rPr>
      </w:pPr>
      <w:r>
        <w:rPr>
          <w:rFonts w:ascii="黑体" w:hAnsi="黑体" w:eastAsia="黑体"/>
          <w:szCs w:val="32"/>
          <w:shd w:val="clear" w:color="auto" w:fill="FFFFFF"/>
        </w:rPr>
        <w:t>四、</w:t>
      </w:r>
      <w:r>
        <w:rPr>
          <w:rFonts w:hint="eastAsia" w:ascii="黑体" w:hAnsi="黑体" w:eastAsia="黑体"/>
          <w:szCs w:val="32"/>
          <w:shd w:val="clear" w:color="auto" w:fill="FFFFFF"/>
        </w:rPr>
        <w:t>项目</w:t>
      </w:r>
      <w:r>
        <w:rPr>
          <w:rFonts w:ascii="黑体" w:hAnsi="黑体" w:eastAsia="黑体"/>
          <w:szCs w:val="32"/>
          <w:shd w:val="clear" w:color="auto" w:fill="FFFFFF"/>
        </w:rPr>
        <w:t>绩效情况</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Times New Roman" w:hAnsi="Times New Roman"/>
          <w:szCs w:val="32"/>
          <w:shd w:val="clear" w:color="auto" w:fill="FFFFFF"/>
        </w:rPr>
      </w:pPr>
      <w:r>
        <w:rPr>
          <w:rFonts w:ascii="Times New Roman" w:hAnsi="Times New Roman"/>
          <w:szCs w:val="32"/>
          <w:shd w:val="clear" w:color="auto" w:fill="FFFFFF"/>
        </w:rPr>
        <w:t>1.</w:t>
      </w:r>
      <w:r>
        <w:rPr>
          <w:rFonts w:ascii="Times New Roman" w:hAnsi="仿宋_GB2312"/>
          <w:szCs w:val="32"/>
          <w:shd w:val="clear" w:color="auto" w:fill="FFFFFF"/>
        </w:rPr>
        <w:t>项目的经济性分析</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Times New Roman" w:hAnsi="Times New Roman"/>
          <w:szCs w:val="32"/>
          <w:shd w:val="clear" w:color="auto" w:fill="FFFFFF"/>
        </w:rPr>
      </w:pPr>
      <w:r>
        <w:rPr>
          <w:rFonts w:ascii="Times New Roman" w:hAnsi="Times New Roman"/>
          <w:szCs w:val="32"/>
          <w:shd w:val="clear" w:color="auto" w:fill="FFFFFF"/>
        </w:rPr>
        <w:t>20</w:t>
      </w:r>
      <w:r>
        <w:rPr>
          <w:rFonts w:hint="eastAsia" w:ascii="Times New Roman" w:hAnsi="Times New Roman"/>
          <w:szCs w:val="32"/>
          <w:shd w:val="clear" w:color="auto" w:fill="FFFFFF"/>
        </w:rPr>
        <w:t>21</w:t>
      </w:r>
      <w:r>
        <w:rPr>
          <w:rFonts w:ascii="Times New Roman" w:hAnsi="仿宋_GB2312"/>
          <w:szCs w:val="32"/>
          <w:shd w:val="clear" w:color="auto" w:fill="FFFFFF"/>
        </w:rPr>
        <w:t>年度</w:t>
      </w:r>
      <w:r>
        <w:rPr>
          <w:rFonts w:hint="eastAsia"/>
        </w:rPr>
        <w:t>昆明西南联大研究院附属学校办学补助经费</w:t>
      </w:r>
      <w:r>
        <w:rPr>
          <w:rFonts w:ascii="Times New Roman" w:hAnsi="仿宋_GB2312"/>
          <w:szCs w:val="32"/>
          <w:shd w:val="clear" w:color="auto" w:fill="FFFFFF"/>
        </w:rPr>
        <w:t>拨付资金</w:t>
      </w:r>
      <w:r>
        <w:rPr>
          <w:rFonts w:hint="eastAsia" w:ascii="Times New Roman" w:hAnsi="Times New Roman"/>
          <w:szCs w:val="32"/>
          <w:shd w:val="clear" w:color="auto" w:fill="FFFFFF"/>
        </w:rPr>
        <w:t>400</w:t>
      </w:r>
      <w:r>
        <w:rPr>
          <w:rFonts w:ascii="Times New Roman" w:hAnsi="仿宋_GB2312"/>
          <w:szCs w:val="32"/>
          <w:shd w:val="clear" w:color="auto" w:fill="FFFFFF"/>
        </w:rPr>
        <w:t>万元，该项资金全部用于</w:t>
      </w:r>
      <w:r>
        <w:rPr>
          <w:rFonts w:hint="eastAsia" w:ascii="Times New Roman" w:hAnsi="仿宋_GB2312"/>
          <w:szCs w:val="32"/>
          <w:shd w:val="clear" w:color="auto" w:fill="FFFFFF"/>
        </w:rPr>
        <w:t>学校办学条件改善</w:t>
      </w:r>
      <w:r>
        <w:rPr>
          <w:rFonts w:ascii="Times New Roman" w:hAnsi="仿宋_GB2312"/>
          <w:szCs w:val="32"/>
          <w:shd w:val="clear" w:color="auto" w:fill="FFFFFF"/>
        </w:rPr>
        <w:t>，</w:t>
      </w:r>
      <w:r>
        <w:rPr>
          <w:rFonts w:hint="eastAsia" w:ascii="Times New Roman" w:hAnsi="仿宋_GB2312"/>
          <w:szCs w:val="32"/>
          <w:shd w:val="clear" w:color="auto" w:fill="FFFFFF"/>
        </w:rPr>
        <w:t>符合资金使用用途，</w:t>
      </w:r>
      <w:r>
        <w:rPr>
          <w:rFonts w:ascii="Times New Roman" w:hAnsi="仿宋_GB2312"/>
          <w:szCs w:val="32"/>
          <w:shd w:val="clear" w:color="auto" w:fill="FFFFFF"/>
        </w:rPr>
        <w:t>不存在截留和挪用资金的现象。</w:t>
      </w:r>
      <w:r>
        <w:rPr>
          <w:rFonts w:ascii="Times New Roman" w:hAnsi="Times New Roman"/>
          <w:szCs w:val="32"/>
          <w:shd w:val="clear" w:color="auto" w:fill="FFFFFF"/>
        </w:rPr>
        <w:t xml:space="preserve">  </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hint="eastAsia" w:ascii="Times New Roman" w:hAnsi="仿宋_GB2312"/>
          <w:szCs w:val="32"/>
          <w:shd w:val="clear" w:color="auto" w:fill="FFFFFF"/>
        </w:rPr>
      </w:pPr>
      <w:r>
        <w:rPr>
          <w:rFonts w:ascii="Times New Roman" w:hAnsi="Times New Roman"/>
          <w:szCs w:val="32"/>
          <w:shd w:val="clear" w:color="auto" w:fill="FFFFFF"/>
        </w:rPr>
        <w:t>2.</w:t>
      </w:r>
      <w:r>
        <w:rPr>
          <w:rFonts w:ascii="Times New Roman" w:hAnsi="仿宋_GB2312"/>
          <w:szCs w:val="32"/>
          <w:shd w:val="clear" w:color="auto" w:fill="FFFFFF"/>
        </w:rPr>
        <w:t>项目的效率性分析</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 w:hAnsi="仿宋" w:eastAsia="仿宋"/>
          <w:szCs w:val="32"/>
        </w:rPr>
      </w:pPr>
      <w:r>
        <w:rPr>
          <w:rFonts w:hint="eastAsia" w:ascii="仿宋" w:hAnsi="仿宋" w:eastAsia="仿宋"/>
          <w:szCs w:val="32"/>
        </w:rPr>
        <w:t>本年度内</w:t>
      </w:r>
      <w:r>
        <w:rPr>
          <w:rFonts w:hint="eastAsia"/>
        </w:rPr>
        <w:t>办学补助经费</w:t>
      </w:r>
      <w:r>
        <w:rPr>
          <w:rFonts w:hint="eastAsia" w:ascii="仿宋" w:hAnsi="仿宋" w:eastAsia="仿宋"/>
          <w:szCs w:val="32"/>
        </w:rPr>
        <w:t>按照学校实际情况进行学校环境建设，保障学校正常运转等模块按需支出，确保了学校教育教学工作的正常开展，保证经费使用的时效性。</w:t>
      </w:r>
    </w:p>
    <w:p>
      <w:pPr>
        <w:keepNext w:val="0"/>
        <w:keepLines w:val="0"/>
        <w:pageBreakBefore w:val="0"/>
        <w:widowControl/>
        <w:kinsoku/>
        <w:wordWrap/>
        <w:overflowPunct/>
        <w:autoSpaceDE/>
        <w:autoSpaceDN/>
        <w:bidi w:val="0"/>
        <w:adjustRightInd/>
        <w:snapToGrid/>
        <w:spacing w:line="560" w:lineRule="exact"/>
        <w:ind w:firstLine="594" w:firstLineChars="200"/>
        <w:textAlignment w:val="auto"/>
        <w:rPr>
          <w:rFonts w:ascii="Times New Roman" w:hAnsi="Times New Roman"/>
          <w:szCs w:val="32"/>
          <w:shd w:val="clear" w:color="auto" w:fill="FFFFFF"/>
        </w:rPr>
      </w:pPr>
      <w:r>
        <w:rPr>
          <w:rFonts w:ascii="Times New Roman" w:hAnsi="Times New Roman"/>
          <w:szCs w:val="32"/>
          <w:shd w:val="clear" w:color="auto" w:fill="FFFFFF"/>
        </w:rPr>
        <w:t>3.</w:t>
      </w:r>
      <w:r>
        <w:rPr>
          <w:rFonts w:ascii="Times New Roman" w:hAnsi="仿宋_GB2312"/>
          <w:szCs w:val="32"/>
          <w:shd w:val="clear" w:color="auto" w:fill="FFFFFF"/>
        </w:rPr>
        <w:t>项目的效益性分析</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ascii="Times New Roman" w:hAnsi="Times New Roman"/>
          <w:szCs w:val="32"/>
          <w:shd w:val="clear" w:color="auto" w:fill="FFFFFF"/>
        </w:rPr>
      </w:pPr>
      <w:r>
        <w:rPr>
          <w:rFonts w:ascii="Times New Roman" w:hAnsi="仿宋_GB2312"/>
          <w:szCs w:val="32"/>
          <w:shd w:val="clear" w:color="auto" w:fill="FFFFFF"/>
        </w:rPr>
        <w:t>通过项目实施使学校得到部分财政资金的支持，有效</w:t>
      </w:r>
      <w:r>
        <w:rPr>
          <w:rFonts w:hint="eastAsia" w:ascii="Times New Roman" w:hAnsi="仿宋_GB2312"/>
          <w:szCs w:val="32"/>
          <w:shd w:val="clear" w:color="auto" w:fill="FFFFFF"/>
        </w:rPr>
        <w:t>改善学校办学条件</w:t>
      </w:r>
      <w:r>
        <w:rPr>
          <w:rFonts w:ascii="Times New Roman" w:hAnsi="仿宋_GB2312"/>
          <w:szCs w:val="32"/>
          <w:shd w:val="clear" w:color="auto" w:fill="FFFFFF"/>
        </w:rPr>
        <w:t>，保障学校教育教学工作正常开展</w:t>
      </w:r>
      <w:r>
        <w:rPr>
          <w:rFonts w:hint="eastAsia" w:ascii="Times New Roman" w:hAnsi="仿宋_GB2312"/>
          <w:szCs w:val="32"/>
          <w:shd w:val="clear" w:color="auto" w:fill="FFFFFF"/>
        </w:rPr>
        <w:t>。</w:t>
      </w:r>
      <w:r>
        <w:rPr>
          <w:rFonts w:hint="eastAsia" w:ascii="Calibri" w:hAnsi="Calibri" w:cs="Arial"/>
          <w:kern w:val="0"/>
          <w:szCs w:val="32"/>
        </w:rPr>
        <w:t>学校管好用好设施设备，为师生提供舒适的学习、工作环境与活动环境，增强学校办学管理水平，达到义教优质均衡发展对于学校硬、软件设施的要求。</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五、存在的问题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（一）新增资产资金节约率还需提高。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（二）资金执行进度需要加快。</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六、其他需要说明的问题</w:t>
      </w:r>
    </w:p>
    <w:p>
      <w:pPr>
        <w:keepNext w:val="0"/>
        <w:keepLines w:val="0"/>
        <w:pageBreakBefore w:val="0"/>
        <w:widowControl/>
        <w:kinsoku/>
        <w:wordWrap/>
        <w:overflowPunct/>
        <w:topLinePunct w:val="0"/>
        <w:autoSpaceDE/>
        <w:autoSpaceDN/>
        <w:bidi w:val="0"/>
        <w:adjustRightInd/>
        <w:snapToGrid/>
        <w:spacing w:line="560" w:lineRule="exact"/>
        <w:ind w:firstLine="594" w:firstLineChars="200"/>
        <w:textAlignment w:val="auto"/>
        <w:rPr>
          <w:rFonts w:hint="eastAsia" w:ascii="楷体_GB2312" w:eastAsia="楷体_GB2312"/>
        </w:rPr>
      </w:pPr>
      <w:r>
        <w:rPr>
          <w:rFonts w:hint="eastAsia" w:ascii="楷体_GB2312" w:eastAsia="楷体_GB2312"/>
        </w:rPr>
        <w:t>（一）提高新增资产资金节约率</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科学的选择评审方法，在满足需求的情况下，坚持低价优先、价廉物美的原则，加强价格评审管理，切实提高使用资金的使用效率，从而达到提高新增资产资金的节约率。</w:t>
      </w:r>
    </w:p>
    <w:p>
      <w:pPr>
        <w:keepNext w:val="0"/>
        <w:keepLines w:val="0"/>
        <w:pageBreakBefore w:val="0"/>
        <w:widowControl/>
        <w:kinsoku/>
        <w:wordWrap/>
        <w:overflowPunct/>
        <w:topLinePunct w:val="0"/>
        <w:autoSpaceDE/>
        <w:autoSpaceDN/>
        <w:bidi w:val="0"/>
        <w:adjustRightInd/>
        <w:snapToGrid/>
        <w:spacing w:line="560" w:lineRule="exact"/>
        <w:ind w:firstLine="594" w:firstLineChars="200"/>
        <w:textAlignment w:val="auto"/>
        <w:rPr>
          <w:rFonts w:hint="eastAsia" w:ascii="楷体_GB2312" w:eastAsia="楷体_GB2312"/>
        </w:rPr>
      </w:pPr>
      <w:r>
        <w:rPr>
          <w:rFonts w:hint="eastAsia" w:ascii="楷体_GB2312" w:eastAsia="楷体_GB2312"/>
        </w:rPr>
        <w:t>（二）细化预算指标，提高预算科学性</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仿宋_GB2312"/>
          <w:szCs w:val="32"/>
        </w:rPr>
      </w:pPr>
      <w:r>
        <w:rPr>
          <w:rFonts w:hint="eastAsia" w:ascii="仿宋_GB2312"/>
          <w:szCs w:val="32"/>
        </w:rPr>
        <w:t>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w:t>
      </w:r>
      <w:bookmarkStart w:id="0" w:name="_GoBack"/>
      <w:bookmarkEnd w:id="0"/>
      <w:r>
        <w:rPr>
          <w:rFonts w:hint="eastAsia" w:ascii="仿宋_GB2312"/>
          <w:szCs w:val="32"/>
        </w:rPr>
        <w:t>间存在的差距，纠正偏差，为下一次科学、准确地编制部门预算积累经验。</w:t>
      </w:r>
    </w:p>
    <w:p>
      <w:pPr>
        <w:keepNext w:val="0"/>
        <w:keepLines w:val="0"/>
        <w:pageBreakBefore w:val="0"/>
        <w:kinsoku/>
        <w:wordWrap/>
        <w:overflowPunct/>
        <w:autoSpaceDE/>
        <w:autoSpaceDN/>
        <w:bidi w:val="0"/>
        <w:adjustRightInd/>
        <w:snapToGrid/>
        <w:spacing w:line="560" w:lineRule="exact"/>
        <w:ind w:firstLine="594" w:firstLineChars="200"/>
        <w:textAlignment w:val="auto"/>
      </w:pPr>
    </w:p>
    <w:sectPr>
      <w:footerReference r:id="rId3"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4194"/>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CDD"/>
    <w:rsid w:val="000011C4"/>
    <w:rsid w:val="00140186"/>
    <w:rsid w:val="00180055"/>
    <w:rsid w:val="001A473E"/>
    <w:rsid w:val="001D79F2"/>
    <w:rsid w:val="00303A8E"/>
    <w:rsid w:val="00382914"/>
    <w:rsid w:val="005557F0"/>
    <w:rsid w:val="005C7D3A"/>
    <w:rsid w:val="005F3849"/>
    <w:rsid w:val="00637011"/>
    <w:rsid w:val="006437D0"/>
    <w:rsid w:val="006555AC"/>
    <w:rsid w:val="00705176"/>
    <w:rsid w:val="007801D6"/>
    <w:rsid w:val="007D4C51"/>
    <w:rsid w:val="00801B25"/>
    <w:rsid w:val="009063AD"/>
    <w:rsid w:val="009A263D"/>
    <w:rsid w:val="00A70A7F"/>
    <w:rsid w:val="00AD07E2"/>
    <w:rsid w:val="00B01D14"/>
    <w:rsid w:val="00B0705C"/>
    <w:rsid w:val="00B415AB"/>
    <w:rsid w:val="00BF2CDB"/>
    <w:rsid w:val="00C241A6"/>
    <w:rsid w:val="00C747E9"/>
    <w:rsid w:val="00C76E75"/>
    <w:rsid w:val="00D3418F"/>
    <w:rsid w:val="00E81CDD"/>
    <w:rsid w:val="00ED21F1"/>
    <w:rsid w:val="00F42359"/>
    <w:rsid w:val="00F81142"/>
    <w:rsid w:val="02170D20"/>
    <w:rsid w:val="053A106E"/>
    <w:rsid w:val="05AE36CA"/>
    <w:rsid w:val="06415FD3"/>
    <w:rsid w:val="089F28D9"/>
    <w:rsid w:val="09CE762B"/>
    <w:rsid w:val="0DCC7EA4"/>
    <w:rsid w:val="11E778D0"/>
    <w:rsid w:val="13571A87"/>
    <w:rsid w:val="16AC01DC"/>
    <w:rsid w:val="16BD24D5"/>
    <w:rsid w:val="193B0FF0"/>
    <w:rsid w:val="1C8F7491"/>
    <w:rsid w:val="20EC530D"/>
    <w:rsid w:val="23ED4D16"/>
    <w:rsid w:val="263C3AFB"/>
    <w:rsid w:val="2A42770F"/>
    <w:rsid w:val="2B5E7C3B"/>
    <w:rsid w:val="33805068"/>
    <w:rsid w:val="33890E1F"/>
    <w:rsid w:val="35E27CAE"/>
    <w:rsid w:val="378A5996"/>
    <w:rsid w:val="37B63E67"/>
    <w:rsid w:val="3A97777C"/>
    <w:rsid w:val="3AE70DCA"/>
    <w:rsid w:val="3B560E56"/>
    <w:rsid w:val="3CB573BD"/>
    <w:rsid w:val="3DB8403A"/>
    <w:rsid w:val="3F344D6F"/>
    <w:rsid w:val="44FA1CD6"/>
    <w:rsid w:val="45B5687D"/>
    <w:rsid w:val="45DD2747"/>
    <w:rsid w:val="495C3E01"/>
    <w:rsid w:val="4E3A5EC8"/>
    <w:rsid w:val="4E60430F"/>
    <w:rsid w:val="4FB14E87"/>
    <w:rsid w:val="525132BB"/>
    <w:rsid w:val="567266AB"/>
    <w:rsid w:val="584A5730"/>
    <w:rsid w:val="594522FB"/>
    <w:rsid w:val="5A3C6978"/>
    <w:rsid w:val="5B1472DB"/>
    <w:rsid w:val="5B2F7AA2"/>
    <w:rsid w:val="5CFB7C30"/>
    <w:rsid w:val="618331F2"/>
    <w:rsid w:val="66275205"/>
    <w:rsid w:val="667A1423"/>
    <w:rsid w:val="66AE4B80"/>
    <w:rsid w:val="66FB7417"/>
    <w:rsid w:val="67600811"/>
    <w:rsid w:val="6A906BC6"/>
    <w:rsid w:val="6AB223EE"/>
    <w:rsid w:val="6B6D464C"/>
    <w:rsid w:val="6C773C53"/>
    <w:rsid w:val="6D306860"/>
    <w:rsid w:val="6D627659"/>
    <w:rsid w:val="7139045A"/>
    <w:rsid w:val="78107D47"/>
    <w:rsid w:val="79A003A7"/>
    <w:rsid w:val="7FAC3E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asciiTheme="minorHAnsi" w:hAnsiTheme="minorHAnsi" w:cstheme="minorBidi"/>
      <w:kern w:val="2"/>
      <w:sz w:val="18"/>
      <w:szCs w:val="18"/>
    </w:rPr>
  </w:style>
  <w:style w:type="character" w:customStyle="1" w:styleId="7">
    <w:name w:val="页脚 Char"/>
    <w:basedOn w:val="5"/>
    <w:link w:val="2"/>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434</Words>
  <Characters>2477</Characters>
  <Lines>20</Lines>
  <Paragraphs>5</Paragraphs>
  <TotalTime>103</TotalTime>
  <ScaleCrop>false</ScaleCrop>
  <LinksUpToDate>false</LinksUpToDate>
  <CharactersWithSpaces>2906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2021-03-29T07:10:00Z</dcterms:created>
  <dc:creator>jyjcg</dc:creator>
  <cp:lastModifiedBy>LMD</cp:lastModifiedBy>
  <cp:lastPrinted>2022-03-23T05:51:00Z</cp:lastPrinted>
  <dcterms:modified xsi:type="dcterms:W3CDTF">2022-09-27T09:59:50Z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533973134_btnclosed</vt:lpwstr>
  </property>
</Properties>
</file>