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昆明市呈贡区教育体育局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年三名工程经费支出绩效评价报告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atLeas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根据昆明市呈贡区财政局《关于对20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年度预算支出开展绩效自评工作的通知》文件要求，区教育体育局认真开展绩效自评工作。现将20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年度呈贡区三名工程经费支出绩效自评情况汇报如下：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atLeas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atLeast"/>
        <w:ind w:firstLine="594" w:firstLineChars="200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atLeast"/>
        <w:ind w:firstLine="594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全面贯彻落实昆明市《昆明市名校名师名长工程实施方案》，不断推进教育创新，着力提升呈贡教育品质，2017年8月，由中共昆明市呈贡区委、昆明市呈贡区人民政府印发了《昆明市呈贡区实施名校名师名长工程的实施方案的通知》(呈发（〔2017〕13号），在全区范围内实施打造名校、名师、名长的“三名工程”，明确全面实施呈贡区名校、名师、名长工程“212”行动计划，到2020年，培育、引进20所区级示范引领名校；培养、引进、评选100名教学名师和20名名校长。通过发挥其支撑示范引领作用，促进全区教育发展水平的整体提升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atLeas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为了更好地发挥名校、名师、名长的引领辐射带动作用，20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年呈贡区教育体育局组织实施了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届名校名师名长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的综合考核</w:t>
      </w:r>
      <w:r>
        <w:rPr>
          <w:rFonts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</w:rPr>
        <w:t>。</w:t>
      </w:r>
      <w:r>
        <w:rPr>
          <w:rFonts w:hint="eastAsia" w:ascii="Times New Roman" w:hAnsi="Times New Roman" w:cs="Times New Roman"/>
          <w:sz w:val="32"/>
          <w:lang w:eastAsia="zh-CN"/>
        </w:rPr>
        <w:t>其中：</w:t>
      </w:r>
      <w:r>
        <w:rPr>
          <w:rFonts w:hint="eastAsia" w:ascii="Times New Roman" w:hAnsi="Times New Roman" w:eastAsia="仿宋_GB2312" w:cs="Times New Roman"/>
          <w:sz w:val="32"/>
        </w:rPr>
        <w:t>2018年命名的区级名校11所（优秀等次5所、合格等次5所，取消1所），2019年命名的区级名校4所（优秀等次1所、合格等次3所），2020年命名的区级名校5所（优秀等次2所、合格等次3所）；2018年命名的区级名师42名（优秀等次18名、良好等次20名、合格等次1名、取消3名），2019年命名的区级名师25名（优秀等次11名、良好等次11名、合格等次1名、取消2名），2020年命名的区级名师33名（优秀等次8名、良好等次21名、合格等次3名、取消1名）；2018年命名的区级名校（园）长6名（优秀等次3名、良好等次1名、取消2名），2019年命名的区级名校（园）长5名（优秀等次3名、良好等次2名），2020年命名的区级名校（园）长6名（优秀等次1名、良好等次5名）。</w:t>
      </w:r>
      <w:r>
        <w:rPr>
          <w:rFonts w:ascii="Times New Roman" w:hAnsi="Times New Roman" w:eastAsia="仿宋_GB2312" w:cs="Times New Roman"/>
          <w:sz w:val="32"/>
          <w:szCs w:val="32"/>
        </w:rPr>
        <w:t>呈贡区20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年财政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预算</w:t>
      </w:r>
      <w:r>
        <w:rPr>
          <w:rFonts w:ascii="Times New Roman" w:hAnsi="Times New Roman" w:eastAsia="仿宋_GB2312" w:cs="Times New Roman"/>
          <w:sz w:val="32"/>
          <w:szCs w:val="32"/>
        </w:rPr>
        <w:t>安排三名工程经费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685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，最终决算数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655.26万元</w:t>
      </w:r>
      <w:r>
        <w:rPr>
          <w:rFonts w:ascii="Times New Roman" w:hAnsi="Times New Roman" w:eastAsia="仿宋_GB2312" w:cs="Times New Roman"/>
          <w:sz w:val="32"/>
          <w:szCs w:val="32"/>
        </w:rPr>
        <w:t>，主要用于名校建设、名师培养、名长培育。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spacing w:line="560" w:lineRule="atLeas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560" w:lineRule="atLeast"/>
        <w:ind w:firstLine="59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项目绩效总目标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60" w:lineRule="atLeas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相关经费的使用，用于名校基础设施建设、设施设备添置、校园文化建设，用于名师、名长组建工作室的工作经费。通过该项目的实施，可以快速提升学校办学水平和教育质量，有利于推进呈贡教育现代化、国际化、优质均衡化发展，打造全省名校聚集、名师云集的优质教育资源高地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autoSpaceDE/>
        <w:autoSpaceDN/>
        <w:bidi w:val="0"/>
        <w:spacing w:line="560" w:lineRule="atLeast"/>
        <w:ind w:firstLine="594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项目绩效阶段性目标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60" w:lineRule="atLeast"/>
        <w:ind w:firstLine="59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名校、名师发挥引领辐射作用，带动教育发展，形成呈贡大教育格局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教育成为全区经济社会发展的重要支撑。</w:t>
      </w:r>
      <w:r>
        <w:rPr>
          <w:rFonts w:hint="eastAsia" w:eastAsia="仿宋_GB2312"/>
          <w:sz w:val="32"/>
          <w:szCs w:val="32"/>
        </w:rPr>
        <w:t>教育主要发展指标达到教育现代化水平，当好全省教育现代化的排头兵和火车头；优质教育丰富多样，教育公平得到保障，学生、家庭、社会对教育更加认可，人民群众对教育的满意度显著提高；人才培养较好地满足现代化建设需要，教育对经济社会发展的贡献度显著提高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atLeas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napToGrid w:val="0"/>
        <w:spacing w:line="560" w:lineRule="atLeast"/>
        <w:ind w:firstLine="594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1．项目资金安排情况分析 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atLeast"/>
        <w:ind w:firstLine="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三名工程经费使用严格按照相关文件执行，坚持合理使用、节约成本的原则，年初进行预算，20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年呈贡区财政下达资金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685</w:t>
      </w:r>
      <w:r>
        <w:rPr>
          <w:rFonts w:ascii="Times New Roman" w:hAnsi="Times New Roman" w:eastAsia="仿宋_GB2312" w:cs="Times New Roman"/>
          <w:sz w:val="32"/>
          <w:szCs w:val="32"/>
        </w:rPr>
        <w:t>万元，资金到位率100％，全部用于名校建设和名师名长培育，截止20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年12月全部按照计划执行，资金使用率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95.66</w:t>
      </w:r>
      <w:r>
        <w:rPr>
          <w:rFonts w:ascii="Times New Roman" w:hAnsi="Times New Roman" w:eastAsia="仿宋_GB2312" w:cs="Times New Roman"/>
          <w:sz w:val="32"/>
          <w:szCs w:val="32"/>
        </w:rPr>
        <w:t>％。各项经费的使用严格按照相关程序执行，经局办公会研究决定后实施。对于大额资金的使用经向区政府作请示，并按照政府批示使用。整个项目的实施按照申报、批复执行，资金的分配全面、合理。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atLeast"/>
        <w:ind w:firstLine="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2．项目资金使用情况分析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atLeast"/>
        <w:ind w:firstLine="594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（1）呈贡区首届区级名校的名校（园）长基金（1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所）3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atLeast"/>
        <w:ind w:firstLine="594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（2）呈贡区第二届区级名校的名校（园）长基金（4所）1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atLeast"/>
        <w:ind w:firstLine="594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）呈贡区第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届区级名校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名校（园）长基金（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所）1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atLeast"/>
        <w:ind w:firstLine="594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）第三届名校名师名长专家考评费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2.26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atLeast"/>
        <w:ind w:firstLine="594" w:firstLineChars="200"/>
        <w:jc w:val="left"/>
        <w:textAlignment w:val="auto"/>
        <w:rPr>
          <w:rFonts w:hint="eastAsia" w:ascii="仿宋_GB2312"/>
          <w:b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呈贡区首届、二届、三届名校（园）补助资金、校长基金使用情况审计首付款3万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atLeas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atLeast"/>
        <w:ind w:firstLine="594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昆明市呈贡区实施名校名师名长工程的实施方案的通知》(呈发（〔2017〕13号）《昆明市呈贡区名校名师名长工程实施细则（试行）》（呈教通〔2017〕86号）文件，为了更好地发挥名校、名师、名长的引领辐射带动作用，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年呈贡区教育体育局组织实施了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届名校名师名长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的综合考核</w:t>
      </w:r>
      <w:r>
        <w:rPr>
          <w:rFonts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atLeast"/>
        <w:ind w:firstLine="594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所区级名校，按照政策待遇，呈贡区给予了相应的补助资金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和校长基金</w:t>
      </w:r>
      <w:r>
        <w:rPr>
          <w:rFonts w:ascii="Times New Roman" w:hAnsi="Times New Roman" w:eastAsia="仿宋_GB2312" w:cs="Times New Roman"/>
          <w:sz w:val="32"/>
          <w:szCs w:val="32"/>
        </w:rPr>
        <w:t>。为科学有效地使用该项资金，呈贡区人民政府印发了《昆明市呈贡区名校（园）补助资金、校长基金使用管理规定（暂行）》，对资金的使用范围和管理要求作了明确规定。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所名校结合自身办学实际，对资金使用进行规划，并向区教育体育局递交申报书，就各学校的使用计划区教育体育局向区财政局、区审计局、区纪委等部门征求意见，各部门审核后</w:t>
      </w:r>
      <w:r>
        <w:rPr>
          <w:rFonts w:ascii="Times New Roman" w:eastAsia="仿宋_GB2312" w:cs="Times New Roman"/>
          <w:sz w:val="32"/>
        </w:rPr>
        <w:t>提出指导意见，以便学校制定资金使用方案，保证资金使用规范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60" w:lineRule="atLeast"/>
        <w:ind w:firstLine="629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述经费在收支预算执行过程中，我们严格按照相关程序办理，支出依据合规，同时加强对项目资金的管理，严格按项目计划和规定用途确保专款专用，充分发挥财政资金的使用效益。此专项经费使用不拖欠、不截留，支出规范、合理，无虚列、虚报冒领和挤占挪用的现象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atLeas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atLeast"/>
        <w:ind w:firstLine="594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. </w:t>
      </w:r>
      <w:r>
        <w:rPr>
          <w:rFonts w:ascii="Times New Roman" w:hAnsi="Times New Roman" w:eastAsia="仿宋_GB2312" w:cs="Times New Roman"/>
          <w:sz w:val="32"/>
          <w:szCs w:val="32"/>
        </w:rPr>
        <w:t>项目经济性和效率性分析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atLeast"/>
        <w:ind w:firstLine="594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呈贡区教育体育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发展综合服务中心</w:t>
      </w:r>
      <w:r>
        <w:rPr>
          <w:rFonts w:ascii="Times New Roman" w:hAnsi="Times New Roman" w:eastAsia="仿宋_GB2312" w:cs="Times New Roman"/>
          <w:sz w:val="32"/>
          <w:szCs w:val="32"/>
        </w:rPr>
        <w:t>严格按照文件精神、规范程序核拨三名工程经费，各项经费严格按照使用范围和用途使用，并制定相关管理办法，加强资金的管理。项目资金的拨付、使用、所实施的各项内容均按计划进行，成本控制在预算内。各学校取得经费后进行分账核算，按照适用范围列支。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年度该项目资金严格按照项目管理制度规定执行，各学校资金使用合规、合法，项目完成质量较好。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60" w:lineRule="atLeast"/>
        <w:ind w:left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 项</w:t>
      </w:r>
      <w:r>
        <w:rPr>
          <w:rFonts w:ascii="Times New Roman" w:hAnsi="Times New Roman" w:eastAsia="仿宋_GB2312" w:cs="Times New Roman"/>
          <w:sz w:val="32"/>
          <w:szCs w:val="32"/>
        </w:rPr>
        <w:t>目的效益性分析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atLeast"/>
        <w:ind w:firstLine="594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实施三名工程构建起“培养名师、培育名长、创建名校”的长效机制，有利于学校品牌创建，办学特色形成，有利于引领辐射区域内教师成长，实现师资队伍全面优化，教学水平显著提升。力求成就一批家长认可度高的名师、名长，创建一批社会美誉度高的名校，推动区域教育优质均衡发展，不断形成“优质教育”生态圈，让教育改革的红利更多更好地惠及百姓，不断满足人民群众对美好教育需求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atLeas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atLeast"/>
        <w:ind w:firstLine="594" w:firstLineChars="200"/>
        <w:textAlignment w:val="auto"/>
        <w:rPr>
          <w:rFonts w:ascii="仿宋_GB231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名工程作为教育改革的一项重要任务，涉及的资金数额大、范围面广，切实关乎民生，如何使用好和监管好资金发挥财政资金的最大效益尤为重要。做好科学、民主决策，建立行之有效的资金管理制度是下一步工作的主要方向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atLeas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atLeast"/>
        <w:ind w:firstLine="582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查找三名工程项目实施存在问题，并提出相应的对策建议，更加充分地发挥三名工程作用。结合新区教育发展实际，认真开展调查需求调研，让三名工程实施得更具针对性、实效性。下一步工作中，要更好地做好经费的预算，最大限度地发挥财政资金的作用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autoSpaceDE/>
        <w:autoSpaceDN/>
        <w:bidi w:val="0"/>
        <w:spacing w:line="560" w:lineRule="atLeast"/>
        <w:textAlignment w:val="auto"/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EA59"/>
    <w:multiLevelType w:val="singleLevel"/>
    <w:tmpl w:val="38E7EA5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DFBECAA"/>
    <w:multiLevelType w:val="singleLevel"/>
    <w:tmpl w:val="3DFBECA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33443B5"/>
    <w:multiLevelType w:val="singleLevel"/>
    <w:tmpl w:val="433443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71B1"/>
    <w:rsid w:val="03E67612"/>
    <w:rsid w:val="05AE36CA"/>
    <w:rsid w:val="222C4654"/>
    <w:rsid w:val="2AC960B9"/>
    <w:rsid w:val="34F75F1F"/>
    <w:rsid w:val="378A5996"/>
    <w:rsid w:val="4A1264D9"/>
    <w:rsid w:val="50CA4D06"/>
    <w:rsid w:val="5A3C6978"/>
    <w:rsid w:val="5BF14385"/>
    <w:rsid w:val="67600811"/>
    <w:rsid w:val="680D022F"/>
    <w:rsid w:val="69EC4022"/>
    <w:rsid w:val="6CF229CA"/>
    <w:rsid w:val="74716076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LMD</cp:lastModifiedBy>
  <dcterms:modified xsi:type="dcterms:W3CDTF">2022-09-27T06:07:23Z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