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Times New Roman" w:hAnsi="方正小标宋简体" w:eastAsia="方正小标宋简体"/>
          <w:sz w:val="44"/>
          <w:szCs w:val="44"/>
        </w:rPr>
      </w:pPr>
      <w:r>
        <w:rPr>
          <w:rFonts w:ascii="Times New Roman" w:hAnsi="方正小标宋简体" w:eastAsia="方正小标宋简体"/>
          <w:sz w:val="44"/>
          <w:szCs w:val="44"/>
        </w:rPr>
        <w:t>昆明市呈贡区教育体育</w:t>
      </w:r>
      <w:r>
        <w:rPr>
          <w:rFonts w:hint="eastAsia" w:ascii="Times New Roman" w:hAnsi="方正小标宋简体" w:eastAsia="方正小标宋简体"/>
          <w:sz w:val="44"/>
          <w:szCs w:val="44"/>
        </w:rPr>
        <w:t>发展综合服务中心</w:t>
      </w:r>
    </w:p>
    <w:p>
      <w:pPr>
        <w:adjustRightInd w:val="0"/>
        <w:snapToGrid w:val="0"/>
        <w:spacing w:line="52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关于</w:t>
      </w:r>
      <w:r>
        <w:rPr>
          <w:rFonts w:ascii="Times New Roman" w:hAnsi="Times New Roman" w:eastAsia="方正小标宋简体"/>
          <w:sz w:val="44"/>
          <w:szCs w:val="44"/>
        </w:rPr>
        <w:t>20</w:t>
      </w:r>
      <w:r>
        <w:rPr>
          <w:rFonts w:hint="eastAsia" w:ascii="Times New Roman" w:hAnsi="Times New Roman" w:eastAsia="方正小标宋简体"/>
          <w:sz w:val="44"/>
          <w:szCs w:val="44"/>
        </w:rPr>
        <w:t>21</w:t>
      </w:r>
      <w:r>
        <w:rPr>
          <w:rFonts w:ascii="Times New Roman" w:hAnsi="方正小标宋简体" w:eastAsia="方正小标宋简体"/>
          <w:sz w:val="44"/>
          <w:szCs w:val="44"/>
        </w:rPr>
        <w:t>年合作办学生均公用经费</w:t>
      </w:r>
    </w:p>
    <w:p>
      <w:pPr>
        <w:adjustRightInd w:val="0"/>
        <w:snapToGrid w:val="0"/>
        <w:spacing w:line="52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支出绩效报告</w:t>
      </w:r>
    </w:p>
    <w:p>
      <w:pPr>
        <w:adjustRightInd w:val="0"/>
        <w:snapToGrid w:val="0"/>
        <w:spacing w:line="520" w:lineRule="exact"/>
        <w:jc w:val="left"/>
        <w:rPr>
          <w:rFonts w:ascii="Times New Roman" w:hAnsi="Times New Roman"/>
          <w:szCs w:val="32"/>
        </w:rPr>
      </w:pPr>
      <w:r>
        <w:rPr>
          <w:rFonts w:ascii="Times New Roman" w:hAnsi="Times New Roman"/>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仿宋_GB2312"/>
          <w:szCs w:val="32"/>
        </w:rPr>
      </w:pPr>
      <w:r>
        <w:rPr>
          <w:rFonts w:ascii="Times New Roman" w:hAnsi="仿宋_GB2312"/>
          <w:szCs w:val="32"/>
        </w:rPr>
        <w:t>根据昆明市呈贡区财政局</w:t>
      </w:r>
      <w:r>
        <w:rPr>
          <w:rFonts w:hint="eastAsia" w:ascii="Times New Roman" w:hAnsi="仿宋_GB2312"/>
          <w:szCs w:val="32"/>
        </w:rPr>
        <w:t>《关于对2021年度预算支出开展绩效自评工作的通知》文件要求</w:t>
      </w:r>
      <w:r>
        <w:rPr>
          <w:rFonts w:ascii="Times New Roman" w:hAnsi="仿宋_GB2312"/>
          <w:szCs w:val="32"/>
        </w:rPr>
        <w:t>，区教育体育</w:t>
      </w:r>
      <w:r>
        <w:rPr>
          <w:rFonts w:hint="eastAsia" w:ascii="Times New Roman" w:hAnsi="仿宋_GB2312"/>
          <w:szCs w:val="32"/>
        </w:rPr>
        <w:t>发展综合服务中心</w:t>
      </w:r>
      <w:r>
        <w:rPr>
          <w:rFonts w:ascii="Times New Roman" w:hAnsi="仿宋_GB2312"/>
          <w:szCs w:val="32"/>
        </w:rPr>
        <w:t>认真开展绩效评价工作</w:t>
      </w:r>
      <w:r>
        <w:rPr>
          <w:rFonts w:hint="eastAsia" w:ascii="Times New Roman" w:hAnsi="仿宋_GB2312"/>
          <w:szCs w:val="32"/>
          <w:lang w:eastAsia="zh-CN"/>
        </w:rPr>
        <w:t>，</w:t>
      </w:r>
      <w:r>
        <w:rPr>
          <w:rFonts w:ascii="Times New Roman" w:hAnsi="仿宋_GB2312"/>
          <w:szCs w:val="32"/>
        </w:rPr>
        <w:t>现将20</w:t>
      </w:r>
      <w:r>
        <w:rPr>
          <w:rFonts w:hint="eastAsia" w:ascii="Times New Roman" w:hAnsi="仿宋_GB2312"/>
          <w:szCs w:val="32"/>
        </w:rPr>
        <w:t>21</w:t>
      </w:r>
      <w:r>
        <w:rPr>
          <w:rFonts w:ascii="Times New Roman" w:hAnsi="仿宋_GB2312"/>
          <w:szCs w:val="32"/>
        </w:rPr>
        <w:t>年度合作办学生均公用经费支出绩效评价情况</w:t>
      </w:r>
      <w:r>
        <w:rPr>
          <w:rFonts w:hint="eastAsia" w:ascii="Times New Roman" w:hAnsi="仿宋_GB2312"/>
          <w:szCs w:val="32"/>
        </w:rPr>
        <w:t>报告</w:t>
      </w:r>
      <w:r>
        <w:rPr>
          <w:rFonts w:ascii="Times New Roman" w:hAnsi="仿宋_GB2312"/>
          <w:szCs w:val="32"/>
        </w:rPr>
        <w:t>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Cs w:val="32"/>
        </w:rPr>
      </w:pPr>
      <w:r>
        <w:rPr>
          <w:rFonts w:ascii="黑体" w:hAnsi="黑体" w:eastAsia="黑体"/>
          <w:szCs w:val="32"/>
        </w:rPr>
        <w:t>一、</w:t>
      </w:r>
      <w:r>
        <w:rPr>
          <w:rFonts w:hint="eastAsia" w:ascii="黑体" w:hAnsi="黑体" w:eastAsia="黑体"/>
          <w:szCs w:val="32"/>
        </w:rPr>
        <w:t>项目</w:t>
      </w:r>
      <w:r>
        <w:rPr>
          <w:rFonts w:ascii="黑体" w:hAnsi="黑体" w:eastAsia="黑体"/>
          <w:szCs w:val="32"/>
        </w:rPr>
        <w:t>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仿宋_GB2312"/>
          <w:szCs w:val="32"/>
        </w:rPr>
      </w:pPr>
      <w:r>
        <w:rPr>
          <w:rFonts w:ascii="Times New Roman" w:hAnsi="仿宋_GB2312"/>
          <w:szCs w:val="32"/>
        </w:rPr>
        <w:t>随着呈贡区城市建设和发展的快速推进，广大群众对优质教育资源的需求不断增加，呈贡区不断创新合作办学模式，进行优质资源移植和品牌输入。2013年以来，呈贡区采取市区合建、政企共建、区属自建等方式，先后与驻区高校、省内外名校合作共建学校、幼儿园</w:t>
      </w:r>
      <w:r>
        <w:rPr>
          <w:rFonts w:hint="eastAsia" w:ascii="Times New Roman" w:hAnsi="仿宋_GB2312"/>
          <w:szCs w:val="32"/>
        </w:rPr>
        <w:t>25</w:t>
      </w:r>
      <w:r>
        <w:rPr>
          <w:rFonts w:ascii="Times New Roman" w:hAnsi="仿宋_GB2312"/>
          <w:szCs w:val="32"/>
        </w:rPr>
        <w:t>所，大大地增加了我区优质教育资源总量。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仿宋_GB2312"/>
          <w:szCs w:val="32"/>
        </w:rPr>
      </w:pPr>
      <w:r>
        <w:rPr>
          <w:rFonts w:ascii="Times New Roman" w:hAnsi="仿宋_GB2312"/>
          <w:szCs w:val="32"/>
        </w:rPr>
        <w:t>为更快更好地支持学校发展，提升学校办学水平，为呈贡区提供更多优质教育资源，合作办学双方签订《合作办学协议》约定：合作办学学校每年面向呈贡新区招收公费学位学生，呈贡区根据公费学位数核拨生均公用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仿宋_GB2312"/>
          <w:szCs w:val="32"/>
        </w:rPr>
      </w:pPr>
      <w:r>
        <w:rPr>
          <w:rFonts w:ascii="Times New Roman" w:hAnsi="仿宋_GB2312"/>
          <w:szCs w:val="32"/>
        </w:rPr>
        <w:t>根据20</w:t>
      </w:r>
      <w:r>
        <w:rPr>
          <w:rFonts w:hint="eastAsia" w:ascii="Times New Roman" w:hAnsi="仿宋_GB2312"/>
          <w:szCs w:val="32"/>
        </w:rPr>
        <w:t>21</w:t>
      </w:r>
      <w:r>
        <w:rPr>
          <w:rFonts w:ascii="Times New Roman" w:hAnsi="仿宋_GB2312"/>
          <w:szCs w:val="32"/>
        </w:rPr>
        <w:t>年教育事业统计报表</w:t>
      </w:r>
      <w:r>
        <w:rPr>
          <w:rFonts w:hint="eastAsia" w:ascii="Times New Roman" w:hAnsi="仿宋_GB2312"/>
          <w:szCs w:val="32"/>
        </w:rPr>
        <w:t>，</w:t>
      </w:r>
      <w:r>
        <w:rPr>
          <w:rFonts w:ascii="Times New Roman" w:hAnsi="仿宋_GB2312"/>
          <w:szCs w:val="32"/>
        </w:rPr>
        <w:t>区教育体育局对公费学位学生情况进行认真梳理核查</w:t>
      </w:r>
      <w:r>
        <w:rPr>
          <w:rFonts w:hint="eastAsia" w:ascii="Times New Roman" w:hAnsi="仿宋_GB2312"/>
          <w:szCs w:val="32"/>
        </w:rPr>
        <w:t>，</w:t>
      </w:r>
      <w:r>
        <w:rPr>
          <w:rFonts w:ascii="Times New Roman" w:hAnsi="仿宋_GB2312"/>
          <w:szCs w:val="32"/>
        </w:rPr>
        <w:t>截止20</w:t>
      </w:r>
      <w:r>
        <w:rPr>
          <w:rFonts w:hint="eastAsia" w:ascii="Times New Roman" w:hAnsi="仿宋_GB2312"/>
          <w:szCs w:val="32"/>
        </w:rPr>
        <w:t>21</w:t>
      </w:r>
      <w:r>
        <w:rPr>
          <w:rFonts w:ascii="Times New Roman" w:hAnsi="仿宋_GB2312"/>
          <w:szCs w:val="32"/>
        </w:rPr>
        <w:t>年12月，呈贡区合作办学需区级财政提供生均公用经费的学校（幼儿园）共有</w:t>
      </w:r>
      <w:r>
        <w:rPr>
          <w:rFonts w:hint="eastAsia" w:ascii="Times New Roman" w:hAnsi="仿宋_GB2312"/>
          <w:szCs w:val="32"/>
        </w:rPr>
        <w:t>8</w:t>
      </w:r>
      <w:r>
        <w:rPr>
          <w:rFonts w:ascii="Times New Roman" w:hAnsi="仿宋_GB2312"/>
          <w:szCs w:val="32"/>
        </w:rPr>
        <w:t>所，学生共计</w:t>
      </w:r>
      <w:r>
        <w:rPr>
          <w:rFonts w:hint="eastAsia" w:ascii="Times New Roman" w:hAnsi="仿宋_GB2312"/>
          <w:szCs w:val="32"/>
        </w:rPr>
        <w:t>2931</w:t>
      </w:r>
      <w:r>
        <w:rPr>
          <w:rFonts w:ascii="Times New Roman" w:hAnsi="仿宋_GB2312"/>
          <w:szCs w:val="32"/>
        </w:rPr>
        <w:t>人（其中幼儿园</w:t>
      </w:r>
      <w:r>
        <w:rPr>
          <w:rFonts w:hint="eastAsia" w:ascii="Times New Roman" w:hAnsi="仿宋_GB2312"/>
          <w:szCs w:val="32"/>
        </w:rPr>
        <w:t>57</w:t>
      </w:r>
      <w:r>
        <w:rPr>
          <w:rFonts w:ascii="Times New Roman" w:hAnsi="仿宋_GB2312"/>
          <w:szCs w:val="32"/>
        </w:rPr>
        <w:t>人，小学</w:t>
      </w:r>
      <w:r>
        <w:rPr>
          <w:rFonts w:hint="eastAsia" w:ascii="Times New Roman" w:hAnsi="仿宋_GB2312"/>
          <w:szCs w:val="32"/>
        </w:rPr>
        <w:t>660</w:t>
      </w:r>
      <w:r>
        <w:rPr>
          <w:rFonts w:ascii="Times New Roman" w:hAnsi="仿宋_GB2312"/>
          <w:szCs w:val="32"/>
        </w:rPr>
        <w:t>人，初中</w:t>
      </w:r>
      <w:r>
        <w:rPr>
          <w:rFonts w:hint="eastAsia" w:ascii="Times New Roman" w:hAnsi="仿宋_GB2312"/>
          <w:szCs w:val="32"/>
        </w:rPr>
        <w:t>1573</w:t>
      </w:r>
      <w:r>
        <w:rPr>
          <w:rFonts w:ascii="Times New Roman" w:hAnsi="仿宋_GB2312"/>
          <w:szCs w:val="32"/>
        </w:rPr>
        <w:t>人，高中</w:t>
      </w:r>
      <w:r>
        <w:rPr>
          <w:rFonts w:hint="eastAsia" w:ascii="Times New Roman" w:hAnsi="仿宋_GB2312"/>
          <w:szCs w:val="32"/>
        </w:rPr>
        <w:t>641</w:t>
      </w:r>
      <w:r>
        <w:rPr>
          <w:rFonts w:ascii="Times New Roman" w:hAnsi="仿宋_GB2312"/>
          <w:szCs w:val="32"/>
        </w:rPr>
        <w:t>人）。20</w:t>
      </w:r>
      <w:r>
        <w:rPr>
          <w:rFonts w:hint="eastAsia" w:ascii="Times New Roman" w:hAnsi="仿宋_GB2312"/>
          <w:szCs w:val="32"/>
        </w:rPr>
        <w:t>21</w:t>
      </w:r>
      <w:r>
        <w:rPr>
          <w:rFonts w:ascii="Times New Roman" w:hAnsi="仿宋_GB2312"/>
          <w:szCs w:val="32"/>
        </w:rPr>
        <w:t>年度共计核拨区级财政合作办学学校生均公用经费</w:t>
      </w:r>
      <w:r>
        <w:rPr>
          <w:rFonts w:hint="eastAsia" w:ascii="Times New Roman" w:hAnsi="仿宋_GB2312"/>
          <w:szCs w:val="32"/>
        </w:rPr>
        <w:t>188.518</w:t>
      </w:r>
      <w:r>
        <w:rPr>
          <w:rFonts w:ascii="Times New Roman" w:hAnsi="仿宋_GB2312"/>
          <w:szCs w:val="32"/>
        </w:rPr>
        <w:t>万元。项目全部启动，并按计划完成。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Cs w:val="32"/>
        </w:rPr>
      </w:pPr>
      <w:r>
        <w:rPr>
          <w:rFonts w:ascii="黑体" w:hAnsi="黑体" w:eastAsia="黑体"/>
          <w:szCs w:val="32"/>
        </w:rPr>
        <w:t>二、项目</w:t>
      </w:r>
      <w:r>
        <w:rPr>
          <w:rFonts w:hint="eastAsia" w:ascii="黑体" w:hAnsi="黑体" w:eastAsia="黑体"/>
          <w:szCs w:val="32"/>
        </w:rPr>
        <w:t>资金使用及管理</w:t>
      </w:r>
      <w:r>
        <w:rPr>
          <w:rFonts w:ascii="黑体" w:hAnsi="黑体" w:eastAsia="黑体"/>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仿宋_GB2312"/>
          <w:szCs w:val="32"/>
        </w:rPr>
      </w:pPr>
      <w:r>
        <w:rPr>
          <w:rFonts w:ascii="Times New Roman" w:hAnsi="仿宋_GB2312"/>
          <w:szCs w:val="32"/>
        </w:rPr>
        <w:t>20</w:t>
      </w:r>
      <w:r>
        <w:rPr>
          <w:rFonts w:hint="eastAsia" w:ascii="Times New Roman" w:hAnsi="仿宋_GB2312"/>
          <w:szCs w:val="32"/>
        </w:rPr>
        <w:t>21</w:t>
      </w:r>
      <w:r>
        <w:rPr>
          <w:rFonts w:ascii="Times New Roman" w:hAnsi="仿宋_GB2312"/>
          <w:szCs w:val="32"/>
        </w:rPr>
        <w:t>年呈贡区财政安排区级合作办学生均公用经费实际使用资金</w:t>
      </w:r>
      <w:r>
        <w:rPr>
          <w:rFonts w:hint="eastAsia" w:ascii="Times New Roman" w:hAnsi="仿宋_GB2312"/>
          <w:szCs w:val="32"/>
        </w:rPr>
        <w:t>188.518</w:t>
      </w:r>
      <w:r>
        <w:rPr>
          <w:rFonts w:ascii="Times New Roman" w:hAnsi="仿宋_GB2312"/>
          <w:szCs w:val="32"/>
        </w:rPr>
        <w:t>万元，资金到位率100％。 按照幼儿园6</w:t>
      </w:r>
      <w:r>
        <w:rPr>
          <w:rFonts w:hint="eastAsia" w:ascii="Times New Roman" w:hAnsi="仿宋_GB2312"/>
          <w:szCs w:val="32"/>
        </w:rPr>
        <w:t>96</w:t>
      </w:r>
      <w:r>
        <w:rPr>
          <w:rFonts w:ascii="Times New Roman" w:hAnsi="仿宋_GB2312"/>
          <w:szCs w:val="32"/>
        </w:rPr>
        <w:t>元/生/年补助标准，呈贡区下达合作办学幼儿园生均公用经费</w:t>
      </w:r>
      <w:r>
        <w:rPr>
          <w:rFonts w:hint="eastAsia" w:ascii="Times New Roman" w:hAnsi="仿宋_GB2312"/>
          <w:szCs w:val="32"/>
        </w:rPr>
        <w:t>3</w:t>
      </w:r>
      <w:r>
        <w:rPr>
          <w:rFonts w:hint="eastAsia" w:ascii="Times New Roman" w:hAnsi="仿宋_GB2312"/>
          <w:szCs w:val="32"/>
          <w:lang w:val="en-US" w:eastAsia="zh-CN"/>
        </w:rPr>
        <w:t>.</w:t>
      </w:r>
      <w:r>
        <w:rPr>
          <w:rFonts w:hint="eastAsia" w:ascii="Times New Roman" w:hAnsi="仿宋_GB2312"/>
          <w:szCs w:val="32"/>
        </w:rPr>
        <w:t>9672</w:t>
      </w:r>
      <w:r>
        <w:rPr>
          <w:rFonts w:hint="eastAsia" w:ascii="Times New Roman" w:hAnsi="仿宋_GB2312"/>
          <w:szCs w:val="32"/>
          <w:lang w:eastAsia="zh-CN"/>
        </w:rPr>
        <w:t>万</w:t>
      </w:r>
      <w:r>
        <w:rPr>
          <w:rFonts w:ascii="Times New Roman" w:hAnsi="仿宋_GB2312"/>
          <w:szCs w:val="32"/>
        </w:rPr>
        <w:t>元；小学1</w:t>
      </w:r>
      <w:r>
        <w:rPr>
          <w:rFonts w:hint="eastAsia" w:ascii="Times New Roman" w:hAnsi="仿宋_GB2312"/>
          <w:szCs w:val="32"/>
        </w:rPr>
        <w:t>96</w:t>
      </w:r>
      <w:r>
        <w:rPr>
          <w:rFonts w:ascii="Times New Roman" w:hAnsi="仿宋_GB2312"/>
          <w:szCs w:val="32"/>
        </w:rPr>
        <w:t>元/生/年补助标准，呈贡区下达合作办学小学生均公用经费</w:t>
      </w:r>
      <w:r>
        <w:rPr>
          <w:rFonts w:hint="eastAsia" w:ascii="Times New Roman" w:hAnsi="仿宋_GB2312"/>
          <w:szCs w:val="32"/>
        </w:rPr>
        <w:t>12</w:t>
      </w:r>
      <w:r>
        <w:rPr>
          <w:rFonts w:hint="eastAsia" w:ascii="Times New Roman" w:hAnsi="仿宋_GB2312"/>
          <w:szCs w:val="32"/>
          <w:lang w:val="en-US" w:eastAsia="zh-CN"/>
        </w:rPr>
        <w:t>.</w:t>
      </w:r>
      <w:r>
        <w:rPr>
          <w:rFonts w:hint="eastAsia" w:ascii="Times New Roman" w:hAnsi="仿宋_GB2312"/>
          <w:szCs w:val="32"/>
        </w:rPr>
        <w:t>936</w:t>
      </w:r>
      <w:r>
        <w:rPr>
          <w:rFonts w:hint="eastAsia" w:ascii="Times New Roman" w:hAnsi="仿宋_GB2312"/>
          <w:szCs w:val="32"/>
          <w:lang w:eastAsia="zh-CN"/>
        </w:rPr>
        <w:t>万</w:t>
      </w:r>
      <w:r>
        <w:rPr>
          <w:rFonts w:ascii="Times New Roman" w:hAnsi="仿宋_GB2312"/>
          <w:szCs w:val="32"/>
        </w:rPr>
        <w:t>元；按照初中2</w:t>
      </w:r>
      <w:r>
        <w:rPr>
          <w:rFonts w:hint="eastAsia" w:ascii="Times New Roman" w:hAnsi="仿宋_GB2312"/>
          <w:szCs w:val="32"/>
        </w:rPr>
        <w:t>76</w:t>
      </w:r>
      <w:r>
        <w:rPr>
          <w:rFonts w:ascii="Times New Roman" w:hAnsi="仿宋_GB2312"/>
          <w:szCs w:val="32"/>
        </w:rPr>
        <w:t>元/生/年补助标准，呈贡区下达合作办学初中生均公用经费</w:t>
      </w:r>
      <w:r>
        <w:rPr>
          <w:rFonts w:hint="eastAsia" w:ascii="Times New Roman" w:hAnsi="仿宋_GB2312"/>
          <w:szCs w:val="32"/>
        </w:rPr>
        <w:t>43</w:t>
      </w:r>
      <w:r>
        <w:rPr>
          <w:rFonts w:hint="eastAsia" w:ascii="Times New Roman" w:hAnsi="仿宋_GB2312"/>
          <w:szCs w:val="32"/>
          <w:lang w:val="en-US" w:eastAsia="zh-CN"/>
        </w:rPr>
        <w:t>.</w:t>
      </w:r>
      <w:r>
        <w:rPr>
          <w:rFonts w:hint="eastAsia" w:ascii="Times New Roman" w:hAnsi="仿宋_GB2312"/>
          <w:szCs w:val="32"/>
        </w:rPr>
        <w:t>4148</w:t>
      </w:r>
      <w:r>
        <w:rPr>
          <w:rFonts w:hint="eastAsia" w:ascii="Times New Roman" w:hAnsi="仿宋_GB2312"/>
          <w:szCs w:val="32"/>
          <w:lang w:eastAsia="zh-CN"/>
        </w:rPr>
        <w:t>万</w:t>
      </w:r>
      <w:r>
        <w:rPr>
          <w:rFonts w:ascii="Times New Roman" w:hAnsi="仿宋_GB2312"/>
          <w:szCs w:val="32"/>
        </w:rPr>
        <w:t>元；按照高中2000元/生/年补助标准，下达呈贡区合作办学学校高中阶段生均公用经费</w:t>
      </w:r>
      <w:r>
        <w:rPr>
          <w:rFonts w:hint="eastAsia" w:ascii="Times New Roman" w:hAnsi="仿宋_GB2312"/>
          <w:szCs w:val="32"/>
        </w:rPr>
        <w:t>128</w:t>
      </w:r>
      <w:r>
        <w:rPr>
          <w:rFonts w:hint="eastAsia" w:ascii="Times New Roman" w:hAnsi="仿宋_GB2312"/>
          <w:szCs w:val="32"/>
          <w:lang w:val="en-US" w:eastAsia="zh-CN"/>
        </w:rPr>
        <w:t>.</w:t>
      </w:r>
      <w:r>
        <w:rPr>
          <w:rFonts w:hint="eastAsia" w:ascii="Times New Roman" w:hAnsi="仿宋_GB2312"/>
          <w:szCs w:val="32"/>
        </w:rPr>
        <w:t>2</w:t>
      </w:r>
      <w:r>
        <w:rPr>
          <w:rFonts w:hint="eastAsia" w:ascii="Times New Roman" w:hAnsi="仿宋_GB2312"/>
          <w:szCs w:val="32"/>
          <w:lang w:eastAsia="zh-CN"/>
        </w:rPr>
        <w:t>万</w:t>
      </w:r>
      <w:bookmarkStart w:id="0" w:name="_GoBack"/>
      <w:bookmarkEnd w:id="0"/>
      <w:r>
        <w:rPr>
          <w:rFonts w:ascii="Times New Roman" w:hAnsi="仿宋_GB2312"/>
          <w:szCs w:val="32"/>
        </w:rPr>
        <w:t>元。截至到20</w:t>
      </w:r>
      <w:r>
        <w:rPr>
          <w:rFonts w:hint="eastAsia" w:ascii="Times New Roman" w:hAnsi="仿宋_GB2312"/>
          <w:szCs w:val="32"/>
        </w:rPr>
        <w:t>21</w:t>
      </w:r>
      <w:r>
        <w:rPr>
          <w:rFonts w:ascii="Times New Roman" w:hAnsi="仿宋_GB2312"/>
          <w:szCs w:val="32"/>
        </w:rPr>
        <w:t xml:space="preserve">年12月无结转资金，资金使用率100％。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Cs w:val="32"/>
        </w:rPr>
      </w:pPr>
      <w:r>
        <w:rPr>
          <w:rFonts w:ascii="黑体" w:hAnsi="黑体" w:eastAsia="黑体"/>
          <w:szCs w:val="32"/>
        </w:rPr>
        <w:t>三、</w:t>
      </w:r>
      <w:r>
        <w:rPr>
          <w:rFonts w:hint="eastAsia" w:ascii="黑体" w:hAnsi="黑体" w:eastAsia="黑体"/>
          <w:szCs w:val="32"/>
        </w:rPr>
        <w:t>项目组织实施</w:t>
      </w:r>
      <w:r>
        <w:rPr>
          <w:rFonts w:ascii="黑体" w:hAnsi="黑体" w:eastAsia="黑体"/>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仿宋_GB2312"/>
          <w:szCs w:val="32"/>
        </w:rPr>
      </w:pPr>
      <w:r>
        <w:rPr>
          <w:rFonts w:ascii="Times New Roman" w:hAnsi="仿宋_GB2312"/>
          <w:szCs w:val="32"/>
        </w:rPr>
        <w:t>为了加强对合作办学学校的服务与监管，区教育体育局按照“三明晰”和“六独立”原则，切实履行属地管理职责，保障合作办学学校健康发展。呈贡区委、区政府制定出台了《昆明市呈贡区创新合作办学学校服务和管理的意见（试行）》（呈通〔2015〕16号），从资产及财务管理、招生及公费学位管理、教职工管理等方面加强对合作办学学校的监督指导，规范学校办学行为。区教育体育局每年对与呈贡区合作办学的学校、幼儿园进行全面、深入的调研与督察，对学校的财政安排资金使用情况进行检查指导，确保各项资金使用合法合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rPr>
      </w:pPr>
      <w:r>
        <w:rPr>
          <w:rFonts w:ascii="Times New Roman" w:hAnsi="仿宋_GB2312"/>
          <w:szCs w:val="32"/>
        </w:rPr>
        <w:t>合作办学生均公用经费编制部门预算时，严格按照当年合作办学公费学位数，预算合作办学学校生均公用经费数额；在经费的收支预算执行过程中，我们严格按照预算批复数将专项经费及时、足额拨付到学校，同时加强对学校项目资金的管理，确保专款专用，充分发挥财政资金的使用效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rPr>
      </w:pPr>
      <w:r>
        <w:rPr>
          <w:rFonts w:ascii="Times New Roman" w:hAnsi="仿宋_GB2312"/>
          <w:szCs w:val="32"/>
        </w:rPr>
        <w:t>各学校认真</w:t>
      </w:r>
      <w:r>
        <w:rPr>
          <w:rFonts w:ascii="Times New Roman" w:hAnsi="仿宋_GB2312"/>
          <w:szCs w:val="32"/>
          <w:shd w:val="clear" w:color="auto" w:fill="FFFFFF"/>
        </w:rPr>
        <w:t>贯彻执行</w:t>
      </w:r>
      <w:r>
        <w:rPr>
          <w:rFonts w:ascii="Times New Roman" w:hAnsi="仿宋_GB2312"/>
          <w:szCs w:val="32"/>
        </w:rPr>
        <w:t>《</w:t>
      </w:r>
      <w:r>
        <w:rPr>
          <w:rFonts w:ascii="Times New Roman" w:hAnsi="仿宋_GB2312"/>
          <w:bCs/>
          <w:szCs w:val="32"/>
        </w:rPr>
        <w:t>云南省农村中小学公用经费管理暂行办法》</w:t>
      </w:r>
      <w:r>
        <w:rPr>
          <w:rFonts w:ascii="Times New Roman" w:hAnsi="仿宋_GB2312"/>
          <w:b/>
          <w:bCs/>
          <w:szCs w:val="32"/>
        </w:rPr>
        <w:t>（</w:t>
      </w:r>
      <w:r>
        <w:rPr>
          <w:rFonts w:ascii="Times New Roman" w:hAnsi="仿宋_GB2312"/>
          <w:szCs w:val="32"/>
        </w:rPr>
        <w:t>云财教〔</w:t>
      </w:r>
      <w:r>
        <w:rPr>
          <w:rFonts w:ascii="Times New Roman" w:hAnsi="Times New Roman"/>
          <w:szCs w:val="32"/>
        </w:rPr>
        <w:t>2006</w:t>
      </w:r>
      <w:r>
        <w:rPr>
          <w:rFonts w:ascii="Times New Roman" w:hAnsi="仿宋_GB2312"/>
          <w:szCs w:val="32"/>
        </w:rPr>
        <w:t>〕</w:t>
      </w:r>
      <w:r>
        <w:rPr>
          <w:rFonts w:ascii="Times New Roman" w:hAnsi="Times New Roman"/>
          <w:szCs w:val="32"/>
        </w:rPr>
        <w:t>7</w:t>
      </w:r>
      <w:r>
        <w:rPr>
          <w:rFonts w:ascii="Times New Roman" w:hAnsi="仿宋_GB2312"/>
          <w:szCs w:val="32"/>
        </w:rPr>
        <w:t>号）等一系列文件精神，</w:t>
      </w:r>
      <w:r>
        <w:rPr>
          <w:rFonts w:ascii="Times New Roman" w:hAnsi="仿宋_GB2312"/>
          <w:szCs w:val="32"/>
          <w:shd w:val="clear" w:color="auto" w:fill="FFFFFF"/>
        </w:rPr>
        <w:t>全面规范财务管理，</w:t>
      </w:r>
      <w:r>
        <w:rPr>
          <w:rFonts w:ascii="Times New Roman" w:hAnsi="仿宋_GB2312"/>
          <w:szCs w:val="32"/>
        </w:rPr>
        <w:t>严格执行国家和省市区有关学校公用经费专项资金开支的范围和标准，将经费用于教学业务与管理、教学竞赛、教学质量提升、图书资料购置、教师培训等各项支出。经费支出规范、合理，无虚列、虚报冒领和挤占挪用的现象，票据规范、合法有效。财务信息公开透明，并在学校公示栏进行公示，主动接受师生和群众监督。区教育体育局定期组织对学校公用经费专项资金使用情况进行审计，对学校财务管理进行检查指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Cs w:val="32"/>
        </w:rPr>
      </w:pPr>
      <w:r>
        <w:rPr>
          <w:rFonts w:ascii="黑体" w:hAnsi="黑体" w:eastAsia="黑体"/>
          <w:szCs w:val="32"/>
        </w:rPr>
        <w:t>四、</w:t>
      </w:r>
      <w:r>
        <w:rPr>
          <w:rFonts w:hint="eastAsia" w:ascii="黑体" w:hAnsi="黑体" w:eastAsia="黑体"/>
          <w:szCs w:val="32"/>
        </w:rPr>
        <w:t>项目</w:t>
      </w:r>
      <w:r>
        <w:rPr>
          <w:rFonts w:ascii="黑体" w:hAnsi="黑体" w:eastAsia="黑体"/>
          <w:szCs w:val="32"/>
        </w:rPr>
        <w:t>绩效情况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rPr>
      </w:pPr>
      <w:r>
        <w:rPr>
          <w:rFonts w:ascii="Times New Roman" w:hAnsi="Times New Roman"/>
          <w:szCs w:val="32"/>
        </w:rPr>
        <w:t>1.</w:t>
      </w:r>
      <w:r>
        <w:rPr>
          <w:rFonts w:ascii="Times New Roman" w:hAnsi="仿宋_GB2312"/>
          <w:szCs w:val="32"/>
        </w:rPr>
        <w:t>财务管理规范有序。坚持以服务教育教学为中心，以保障正常开展各项日常教育教学活动为重点，为学校日常运转提供有力保障，各类教育教学活动有序开展，</w:t>
      </w:r>
      <w:r>
        <w:rPr>
          <w:rFonts w:ascii="Times New Roman" w:hAnsi="Times New Roman"/>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2. 办学水平不断提升。公用经费的拨付，有效解决了学校办公、教学业务与管理、日常维护、校园文化建设等方面的问题，促进学校自主发展，提高办学效益。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3. 教师业务水平进一步提升。随着公用经费支出中对校本教研和教师培训经费保障的进一步强化，为教师提供了更多的学习、培训机会，教师专业化水平和综合素质不断提升。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4. 群众满意度进一步提高。随着宣传工作的不断深入和学校财务管理的不断规范，人民群众对于政策知晓度和满意度进一步得到提高。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Cs w:val="32"/>
        </w:rPr>
      </w:pPr>
      <w:r>
        <w:rPr>
          <w:rFonts w:ascii="黑体" w:hAnsi="黑体" w:eastAsia="黑体"/>
          <w:szCs w:val="32"/>
        </w:rPr>
        <w:t>五、存在的问题和建议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仿宋_GB2312"/>
          <w:szCs w:val="32"/>
        </w:rPr>
      </w:pPr>
      <w:r>
        <w:rPr>
          <w:rFonts w:hint="eastAsia" w:ascii="Times New Roman" w:hAnsi="仿宋_GB2312"/>
          <w:szCs w:val="32"/>
        </w:rPr>
        <w:t>随着教师培训工作力度的逐步加大，广大一线教师对于教学业务培训、学习充电的需求也越来越强烈。但就目前的培训市场来看，除国培、公需科目等培训项目外，真正由各级行政主管部门组织的业务培训较少。学校自行联系或组织的培训，质量又难以保证。建议各级行政主管部门，加强对于教师培训工作的研究和对培训市场的管理，好铁用在刀刃上，使教师培训工作真正落在实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Cs w:val="32"/>
        </w:rPr>
      </w:pPr>
      <w:r>
        <w:rPr>
          <w:rFonts w:hint="eastAsia" w:ascii="黑体" w:hAnsi="黑体" w:eastAsia="黑体"/>
          <w:szCs w:val="32"/>
        </w:rPr>
        <w:t>六</w:t>
      </w:r>
      <w:r>
        <w:rPr>
          <w:rFonts w:ascii="黑体" w:hAnsi="黑体" w:eastAsia="黑体"/>
          <w:szCs w:val="32"/>
        </w:rPr>
        <w:t>、其他需要说明的问题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ascii="Times New Roman" w:hAnsi="仿宋_GB2312"/>
          <w:szCs w:val="32"/>
        </w:rPr>
        <w:t>今后，我</w:t>
      </w:r>
      <w:r>
        <w:rPr>
          <w:rFonts w:hint="eastAsia" w:ascii="Times New Roman" w:hAnsi="仿宋_GB2312"/>
          <w:szCs w:val="32"/>
          <w:lang w:eastAsia="zh-CN"/>
        </w:rPr>
        <w:t>部门</w:t>
      </w:r>
      <w:r>
        <w:rPr>
          <w:rFonts w:ascii="Times New Roman" w:hAnsi="仿宋_GB2312"/>
          <w:szCs w:val="32"/>
        </w:rPr>
        <w:t>将进一步完善学校公用经费专项资金的各项管理制度，管好、用好、用足专项资金，为学校健康持续发展提供有力保障，为办新区人民满意的教育做出更大贡献。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rPr>
      </w:pPr>
    </w:p>
    <w:sectPr>
      <w:footerReference r:id="rId3" w:type="default"/>
      <w:endnotePr>
        <w:numFmt w:val="decimal"/>
      </w:endnotePr>
      <w:pgSz w:w="11906" w:h="16838"/>
      <w:pgMar w:top="1701" w:right="1701" w:bottom="1701"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826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8"/>
  <w:drawingGridVerticalSpacing w:val="304"/>
  <w:characterSpacingControl w:val="doNotCompress"/>
  <w:endnotePr>
    <w:numFmt w:val="decimal"/>
  </w:endnotePr>
  <w:compat>
    <w:doNotExpandShiftReturn/>
    <w:useFELayout/>
    <w:compatSetting w:name="compatibilityMode" w:uri="http://schemas.microsoft.com/office/word" w:val="12"/>
  </w:compat>
  <w:rsids>
    <w:rsidRoot w:val="006178B0"/>
    <w:rsid w:val="00016B71"/>
    <w:rsid w:val="000E6BF8"/>
    <w:rsid w:val="0011798A"/>
    <w:rsid w:val="0012486D"/>
    <w:rsid w:val="00150F77"/>
    <w:rsid w:val="0016645B"/>
    <w:rsid w:val="00182A93"/>
    <w:rsid w:val="00197184"/>
    <w:rsid w:val="00231081"/>
    <w:rsid w:val="00256566"/>
    <w:rsid w:val="002964E9"/>
    <w:rsid w:val="00306C8A"/>
    <w:rsid w:val="004B5039"/>
    <w:rsid w:val="004C0F3F"/>
    <w:rsid w:val="004E459C"/>
    <w:rsid w:val="004F7A75"/>
    <w:rsid w:val="00522535"/>
    <w:rsid w:val="00551F85"/>
    <w:rsid w:val="00552F81"/>
    <w:rsid w:val="005B5FAE"/>
    <w:rsid w:val="00604285"/>
    <w:rsid w:val="006178B0"/>
    <w:rsid w:val="006403D2"/>
    <w:rsid w:val="0081515E"/>
    <w:rsid w:val="008405C2"/>
    <w:rsid w:val="00844E49"/>
    <w:rsid w:val="00865B8D"/>
    <w:rsid w:val="0087434D"/>
    <w:rsid w:val="00891283"/>
    <w:rsid w:val="008A1867"/>
    <w:rsid w:val="008C6F2F"/>
    <w:rsid w:val="008F6F25"/>
    <w:rsid w:val="00965B0C"/>
    <w:rsid w:val="00970D40"/>
    <w:rsid w:val="009C0578"/>
    <w:rsid w:val="009D4C5C"/>
    <w:rsid w:val="00A1164D"/>
    <w:rsid w:val="00A45D35"/>
    <w:rsid w:val="00A809E7"/>
    <w:rsid w:val="00A80F45"/>
    <w:rsid w:val="00AF5A05"/>
    <w:rsid w:val="00BC4426"/>
    <w:rsid w:val="00C279C1"/>
    <w:rsid w:val="00C83C04"/>
    <w:rsid w:val="00CA0A82"/>
    <w:rsid w:val="00CB0A1E"/>
    <w:rsid w:val="00D57FCA"/>
    <w:rsid w:val="00D66618"/>
    <w:rsid w:val="00D73E01"/>
    <w:rsid w:val="00DC0BF2"/>
    <w:rsid w:val="00DC5667"/>
    <w:rsid w:val="00E017C2"/>
    <w:rsid w:val="00EA2DBA"/>
    <w:rsid w:val="00F246F5"/>
    <w:rsid w:val="00F42B03"/>
    <w:rsid w:val="00F472D2"/>
    <w:rsid w:val="00FC7437"/>
    <w:rsid w:val="00FD5D4B"/>
    <w:rsid w:val="00FF79E4"/>
    <w:rsid w:val="06EE7E91"/>
    <w:rsid w:val="0707780E"/>
    <w:rsid w:val="2DE97ECB"/>
    <w:rsid w:val="58F37EDE"/>
    <w:rsid w:val="613D2A68"/>
    <w:rsid w:val="67C512F2"/>
    <w:rsid w:val="68910316"/>
    <w:rsid w:val="728F0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1"/>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99"/>
    <w:pPr>
      <w:widowControl w:val="0"/>
    </w:pPr>
    <w:rPr>
      <w:rFonts w:ascii="Calibri" w:hAnsi="Calibri" w:eastAsia="仿宋_GB2312"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rFonts w:ascii="Calibri" w:hAnsi="Calibri" w:eastAsia="仿宋_GB2312" w:cs="Times New Roman"/>
      <w:kern w:val="1"/>
      <w:sz w:val="18"/>
      <w:szCs w:val="18"/>
      <w:lang w:val="en-US" w:eastAsia="zh-CN" w:bidi="ar-SA"/>
    </w:rPr>
  </w:style>
  <w:style w:type="paragraph" w:customStyle="1" w:styleId="6">
    <w:name w:val="列出段落1"/>
    <w:qFormat/>
    <w:uiPriority w:val="0"/>
    <w:pPr>
      <w:widowControl w:val="0"/>
      <w:ind w:firstLine="420"/>
      <w:jc w:val="both"/>
    </w:pPr>
    <w:rPr>
      <w:rFonts w:ascii="Calibri" w:hAnsi="Calibri" w:eastAsia="仿宋_GB2312" w:cs="Times New Roman"/>
      <w:kern w:val="1"/>
      <w:sz w:val="32"/>
      <w:szCs w:val="22"/>
      <w:lang w:val="en-US" w:eastAsia="zh-CN" w:bidi="ar-SA"/>
    </w:rPr>
  </w:style>
  <w:style w:type="character" w:customStyle="1" w:styleId="7">
    <w:name w:val="页眉 Char"/>
    <w:qFormat/>
    <w:uiPriority w:val="0"/>
    <w:rPr>
      <w:rFonts w:eastAsia="仿宋_GB2312"/>
      <w:kern w:val="1"/>
      <w:sz w:val="18"/>
      <w:szCs w:val="18"/>
    </w:rPr>
  </w:style>
  <w:style w:type="character" w:customStyle="1" w:styleId="8">
    <w:name w:val="页脚 Char"/>
    <w:qFormat/>
    <w:uiPriority w:val="99"/>
    <w:rPr>
      <w:rFonts w:eastAsia="仿宋_GB2312"/>
      <w:kern w:val="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314</Words>
  <Characters>1793</Characters>
  <Lines>14</Lines>
  <Paragraphs>4</Paragraphs>
  <TotalTime>365</TotalTime>
  <ScaleCrop>false</ScaleCrop>
  <LinksUpToDate>false</LinksUpToDate>
  <CharactersWithSpaces>2103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cp:lastPrinted>2018-05-06T01:37:00Z</cp:lastPrinted>
  <dcterms:modified xsi:type="dcterms:W3CDTF">2022-09-27T07:00:12Z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