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70" w:lineRule="exact"/>
        <w:jc w:val="center"/>
        <w:textAlignment w:val="auto"/>
        <w:rPr>
          <w:rFonts w:hint="default" w:ascii="方正小标宋简体" w:eastAsia="方正小标宋简体"/>
          <w:sz w:val="36"/>
          <w:szCs w:val="36"/>
          <w:lang w:val="en-US" w:eastAsia="zh-CN"/>
        </w:rPr>
      </w:pPr>
      <w:r>
        <w:rPr>
          <w:rFonts w:hint="eastAsia" w:ascii="方正小标宋简体" w:eastAsia="方正小标宋简体"/>
          <w:sz w:val="36"/>
          <w:szCs w:val="36"/>
        </w:rPr>
        <w:t>昆明市呈贡区住房和城乡建设局</w:t>
      </w:r>
      <w:r>
        <w:rPr>
          <w:rFonts w:hint="eastAsia" w:ascii="方正小标宋简体" w:eastAsia="方正小标宋简体"/>
          <w:sz w:val="36"/>
          <w:szCs w:val="36"/>
          <w:lang w:val="en-US" w:eastAsia="zh-CN"/>
        </w:rPr>
        <w:t>2023年</w:t>
      </w:r>
    </w:p>
    <w:p>
      <w:pPr>
        <w:keepNext w:val="0"/>
        <w:keepLines w:val="0"/>
        <w:pageBreakBefore w:val="0"/>
        <w:widowControl w:val="0"/>
        <w:kinsoku/>
        <w:wordWrap/>
        <w:overflowPunct/>
        <w:topLinePunct w:val="0"/>
        <w:bidi w:val="0"/>
        <w:snapToGrid w:val="0"/>
        <w:spacing w:line="570" w:lineRule="exact"/>
        <w:jc w:val="both"/>
        <w:textAlignment w:val="auto"/>
        <w:rPr>
          <w:rFonts w:ascii="方正小标宋简体" w:eastAsia="方正小标宋简体"/>
          <w:sz w:val="36"/>
          <w:szCs w:val="36"/>
        </w:rPr>
      </w:pPr>
      <w:r>
        <w:rPr>
          <w:rFonts w:hint="eastAsia" w:ascii="方正小标宋简体" w:eastAsia="方正小标宋简体"/>
          <w:sz w:val="36"/>
          <w:szCs w:val="36"/>
        </w:rPr>
        <w:t>滇中引水二期工程（呈贡区）资本金出资专项资金</w:t>
      </w:r>
    </w:p>
    <w:p>
      <w:pPr>
        <w:pStyle w:val="2"/>
        <w:keepNext w:val="0"/>
        <w:keepLines w:val="0"/>
        <w:pageBreakBefore w:val="0"/>
        <w:widowControl w:val="0"/>
        <w:kinsoku/>
        <w:wordWrap/>
        <w:overflowPunct/>
        <w:topLinePunct w:val="0"/>
        <w:bidi w:val="0"/>
        <w:textAlignment w:val="auto"/>
        <w:rPr>
          <w:rFonts w:hint="default"/>
        </w:rPr>
      </w:pPr>
    </w:p>
    <w:p>
      <w:pPr>
        <w:keepNext w:val="0"/>
        <w:keepLines w:val="0"/>
        <w:pageBreakBefore w:val="0"/>
        <w:widowControl w:val="0"/>
        <w:numPr>
          <w:ilvl w:val="0"/>
          <w:numId w:val="1"/>
        </w:numPr>
        <w:kinsoku/>
        <w:wordWrap/>
        <w:overflowPunct/>
        <w:topLinePunct w:val="0"/>
        <w:bidi w:val="0"/>
        <w:ind w:left="30" w:leftChars="0" w:firstLine="600" w:firstLineChars="0"/>
        <w:jc w:val="left"/>
        <w:textAlignment w:val="auto"/>
        <w:rPr>
          <w:rFonts w:ascii="黑体" w:hAnsi="黑体" w:eastAsia="黑体"/>
          <w:kern w:val="0"/>
          <w:sz w:val="30"/>
          <w:szCs w:val="30"/>
        </w:rPr>
      </w:pPr>
      <w:r>
        <w:rPr>
          <w:rFonts w:hint="eastAsia" w:ascii="黑体" w:hAnsi="黑体" w:eastAsia="黑体"/>
          <w:kern w:val="0"/>
          <w:sz w:val="30"/>
          <w:szCs w:val="30"/>
        </w:rPr>
        <w:t>项目名称</w:t>
      </w:r>
    </w:p>
    <w:p>
      <w:pPr>
        <w:keepNext w:val="0"/>
        <w:keepLines w:val="0"/>
        <w:pageBreakBefore w:val="0"/>
        <w:widowControl w:val="0"/>
        <w:kinsoku/>
        <w:wordWrap/>
        <w:overflowPunct/>
        <w:topLinePunct w:val="0"/>
        <w:bidi w:val="0"/>
        <w:ind w:firstLine="600" w:firstLineChars="200"/>
        <w:jc w:val="left"/>
        <w:textAlignment w:val="auto"/>
        <w:rPr>
          <w:rFonts w:hint="eastAsia" w:eastAsia="仿宋_GB2312"/>
          <w:kern w:val="0"/>
          <w:sz w:val="30"/>
          <w:szCs w:val="30"/>
        </w:rPr>
      </w:pPr>
      <w:r>
        <w:rPr>
          <w:rFonts w:hint="eastAsia" w:eastAsia="仿宋_GB2312"/>
          <w:kern w:val="0"/>
          <w:sz w:val="30"/>
          <w:szCs w:val="30"/>
        </w:rPr>
        <w:t>滇中引水二期工程（呈贡区）资本金出资专项资金</w:t>
      </w:r>
    </w:p>
    <w:p>
      <w:pPr>
        <w:keepNext w:val="0"/>
        <w:keepLines w:val="0"/>
        <w:pageBreakBefore w:val="0"/>
        <w:widowControl w:val="0"/>
        <w:numPr>
          <w:ilvl w:val="0"/>
          <w:numId w:val="1"/>
        </w:numPr>
        <w:kinsoku/>
        <w:wordWrap/>
        <w:overflowPunct/>
        <w:topLinePunct w:val="0"/>
        <w:bidi w:val="0"/>
        <w:ind w:left="30" w:leftChars="0" w:firstLine="600" w:firstLineChars="0"/>
        <w:jc w:val="left"/>
        <w:textAlignment w:val="auto"/>
        <w:rPr>
          <w:rFonts w:ascii="黑体" w:hAnsi="黑体" w:eastAsia="黑体" w:cs="黑体"/>
          <w:kern w:val="0"/>
          <w:sz w:val="30"/>
          <w:szCs w:val="30"/>
        </w:rPr>
      </w:pPr>
      <w:r>
        <w:rPr>
          <w:rFonts w:hint="eastAsia" w:ascii="黑体" w:hAnsi="黑体" w:eastAsia="黑体" w:cs="黑体"/>
          <w:kern w:val="0"/>
          <w:sz w:val="30"/>
          <w:szCs w:val="30"/>
        </w:rPr>
        <w:t>立项依据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ascii="Times New Roman" w:hAnsi="Times New Roman"/>
          <w:color w:val="auto"/>
          <w:sz w:val="30"/>
          <w:szCs w:val="30"/>
        </w:rPr>
        <w:t xml:space="preserve"> </w:t>
      </w:r>
      <w:r>
        <w:rPr>
          <w:rFonts w:hint="eastAsia" w:eastAsia="仿宋_GB2312"/>
          <w:kern w:val="0"/>
          <w:sz w:val="30"/>
          <w:szCs w:val="30"/>
        </w:rPr>
        <w:t>2023年部门预算项目资金全区统筹安排，滇中引水二期工程（呈贡区）资本金出资专项资金结转用于用于以下四个项目：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 xml:space="preserve">（一） 花都路（斗南街至瑞香西路段）市政道路建设项目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lang w:eastAsia="zh-CN"/>
        </w:rPr>
      </w:pPr>
      <w:r>
        <w:rPr>
          <w:rFonts w:hint="eastAsia" w:eastAsia="仿宋_GB2312"/>
          <w:kern w:val="0"/>
          <w:sz w:val="30"/>
          <w:szCs w:val="30"/>
        </w:rPr>
        <w:t>立项批复是：呈发改复〔2015〕6号</w:t>
      </w:r>
      <w:r>
        <w:rPr>
          <w:rFonts w:hint="eastAsia" w:eastAsia="仿宋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（二）联大路二分路、呈贡25、呈贡30、彩云路西二分路建设项目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lang w:eastAsia="zh-CN"/>
        </w:rPr>
      </w:pPr>
      <w:r>
        <w:rPr>
          <w:rFonts w:hint="eastAsia" w:eastAsia="仿宋_GB2312"/>
          <w:kern w:val="0"/>
          <w:sz w:val="30"/>
          <w:szCs w:val="30"/>
        </w:rPr>
        <w:t>立项批复是：呈发改复〔2018〕47号；呈发改复〔2018〕44号；呈发改复〔2018〕46号；呈发改复〔2018〕45号</w:t>
      </w:r>
      <w:r>
        <w:rPr>
          <w:rFonts w:hint="eastAsia" w:eastAsia="仿宋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（三）呈贡17（南段）、28（东段）、31（东段）、彩云路东二分路（南段）市政道路建设项目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lang w:eastAsia="zh-CN"/>
        </w:rPr>
      </w:pPr>
      <w:r>
        <w:rPr>
          <w:rFonts w:hint="eastAsia" w:eastAsia="仿宋_GB2312"/>
          <w:kern w:val="0"/>
          <w:sz w:val="30"/>
          <w:szCs w:val="30"/>
          <w:lang w:val="en-US" w:eastAsia="zh-CN"/>
        </w:rPr>
        <w:t>立</w:t>
      </w:r>
      <w:r>
        <w:rPr>
          <w:rFonts w:hint="eastAsia" w:eastAsia="仿宋_GB2312"/>
          <w:kern w:val="0"/>
          <w:sz w:val="30"/>
          <w:szCs w:val="30"/>
        </w:rPr>
        <w:t>项批复是：呈发改复〔2015〕30号、呈发改复〔2015〕31号、呈发改复〔2015〕32号、呈发改复〔2015〕33号</w:t>
      </w:r>
      <w:r>
        <w:rPr>
          <w:rFonts w:hint="eastAsia" w:eastAsia="仿宋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（四）市政道路、桥梁、市政设施管养维护专项经费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lang w:eastAsia="zh-CN"/>
        </w:rPr>
      </w:pPr>
      <w:r>
        <w:rPr>
          <w:rFonts w:hint="eastAsia" w:eastAsia="仿宋_GB2312"/>
          <w:kern w:val="0"/>
          <w:sz w:val="30"/>
          <w:szCs w:val="30"/>
        </w:rPr>
        <w:t>立项批复是：（呈编〔2021〕23号</w:t>
      </w:r>
      <w:r>
        <w:rPr>
          <w:rFonts w:hint="eastAsia" w:eastAsia="仿宋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jc w:val="both"/>
        <w:textAlignment w:val="auto"/>
        <w:rPr>
          <w:rFonts w:ascii="黑体" w:hAnsi="黑体" w:eastAsia="黑体" w:cs="黑体"/>
          <w:kern w:val="0"/>
          <w:sz w:val="30"/>
          <w:szCs w:val="30"/>
        </w:rPr>
      </w:pPr>
      <w:r>
        <w:rPr>
          <w:rFonts w:hint="eastAsia" w:ascii="黑体" w:hAnsi="黑体" w:eastAsia="黑体" w:cs="黑体"/>
          <w:kern w:val="0"/>
          <w:sz w:val="30"/>
          <w:szCs w:val="30"/>
        </w:rPr>
        <w:t xml:space="preserve"> 三、项目实施单位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单位名称：昆明市呈贡区住房和城乡建设局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组织机构代码：11530121015129667E</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地址：</w:t>
      </w:r>
      <w:r>
        <w:rPr>
          <w:rFonts w:hint="eastAsia" w:ascii="Times New Roman" w:hAnsi="Times New Roman" w:eastAsia="仿宋_GB2312" w:cs="Times New Roman"/>
          <w:kern w:val="0"/>
          <w:sz w:val="30"/>
          <w:szCs w:val="30"/>
          <w:lang w:val="en-US" w:eastAsia="zh-CN"/>
        </w:rPr>
        <w:t>昆明市呈贡区呈祥街515号惠景园D7栋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联系电话：0871-67479632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法人代表：尹愿辉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经费来源：财政拨款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单位概况：中共昆明市呈贡区委办公室  昆明市呈贡区人民政府办公室于2019年3月18日印发《昆明市呈贡区住房和城乡建设局职能配置、内设机构和人员编制规定的通知》（呈办通〔2019〕20号）文件，设立昆明市呈贡区住房和城乡建设局，为政府工作部门，正科级</w:t>
      </w:r>
      <w:r>
        <w:rPr>
          <w:rFonts w:hint="eastAsia" w:ascii="Times New Roman" w:hAnsi="Times New Roman" w:eastAsia="仿宋_GB2312" w:cs="Times New Roman"/>
          <w:kern w:val="0"/>
          <w:sz w:val="30"/>
          <w:szCs w:val="30"/>
        </w:rPr>
        <w:t>在职人员编制17人，其中：行政编制17人，工勤人员编制0人，事业编制0人。在职实有</w:t>
      </w:r>
      <w:r>
        <w:rPr>
          <w:rFonts w:hint="eastAsia" w:ascii="Times New Roman" w:hAnsi="Times New Roman" w:eastAsia="仿宋_GB2312" w:cs="Times New Roman"/>
          <w:kern w:val="0"/>
          <w:sz w:val="30"/>
          <w:szCs w:val="30"/>
          <w:lang w:val="en-US" w:eastAsia="zh-CN"/>
        </w:rPr>
        <w:t>19</w:t>
      </w:r>
      <w:r>
        <w:rPr>
          <w:rFonts w:hint="eastAsia" w:ascii="Times New Roman" w:hAnsi="Times New Roman" w:eastAsia="仿宋_GB2312" w:cs="Times New Roman"/>
          <w:kern w:val="0"/>
          <w:sz w:val="30"/>
          <w:szCs w:val="30"/>
        </w:rPr>
        <w:t>人（公务员17人、机关工勤</w:t>
      </w:r>
      <w:r>
        <w:rPr>
          <w:rFonts w:hint="eastAsia" w:ascii="Times New Roman" w:hAnsi="Times New Roman" w:eastAsia="仿宋_GB2312" w:cs="Times New Roman"/>
          <w:kern w:val="0"/>
          <w:sz w:val="30"/>
          <w:szCs w:val="30"/>
          <w:lang w:val="en-US" w:eastAsia="zh-CN"/>
        </w:rPr>
        <w:t>2</w:t>
      </w:r>
      <w:r>
        <w:rPr>
          <w:rFonts w:hint="eastAsia" w:ascii="Times New Roman" w:hAnsi="Times New Roman" w:eastAsia="仿宋_GB2312" w:cs="Times New Roman"/>
          <w:kern w:val="0"/>
          <w:sz w:val="30"/>
          <w:szCs w:val="30"/>
        </w:rPr>
        <w:t>人），</w:t>
      </w:r>
      <w:r>
        <w:rPr>
          <w:rFonts w:hint="eastAsia" w:eastAsia="仿宋_GB2312"/>
          <w:kern w:val="0"/>
          <w:sz w:val="30"/>
          <w:szCs w:val="30"/>
        </w:rPr>
        <w:t>离退休人员 11人。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主要负责辖区内市政道路等基础设施建设的协调管理与推进工作，负责辖区范围内占用、挖掘城市道路施工组织方案审查工作；公租房、廉租房等保障性住房建设与管理，在建设指挥部统一安排下推进失地农民安置房建设；权限范围内燃气站点核准许可、工程质量注册、建设安全生产备案、建设工程消防管理等行政审批服务项目的审批管理工作；辖区内城市排水管网系统运行维护，配合做好辖区排水管网建设的技术审查和城市排水许可的审批、批后监管；建筑质量、建筑安全</w:t>
      </w:r>
      <w:r>
        <w:rPr>
          <w:rFonts w:hint="eastAsia" w:eastAsia="仿宋_GB2312"/>
          <w:kern w:val="0"/>
          <w:sz w:val="30"/>
          <w:szCs w:val="30"/>
          <w:lang w:val="en-US" w:eastAsia="zh-CN"/>
        </w:rPr>
        <w:t>生产</w:t>
      </w:r>
      <w:r>
        <w:rPr>
          <w:rFonts w:hint="eastAsia" w:eastAsia="仿宋_GB2312"/>
          <w:kern w:val="0"/>
          <w:sz w:val="30"/>
          <w:szCs w:val="30"/>
        </w:rPr>
        <w:t>、建筑市场、物业企业、绿色建筑推广、城市燃气安全、商品房交易等行业监管，以及防震减灾和人民防空工作；完成区委区政府赋予的具体项目建设任务。</w:t>
      </w:r>
    </w:p>
    <w:p>
      <w:pPr>
        <w:keepNext w:val="0"/>
        <w:keepLines w:val="0"/>
        <w:pageBreakBefore w:val="0"/>
        <w:widowControl w:val="0"/>
        <w:kinsoku/>
        <w:wordWrap/>
        <w:overflowPunct/>
        <w:topLinePunct w:val="0"/>
        <w:autoSpaceDE/>
        <w:autoSpaceDN/>
        <w:bidi w:val="0"/>
        <w:adjustRightInd/>
        <w:snapToGrid/>
        <w:spacing w:line="560" w:lineRule="exact"/>
        <w:ind w:left="600"/>
        <w:jc w:val="both"/>
        <w:textAlignment w:val="auto"/>
        <w:rPr>
          <w:rFonts w:ascii="黑体" w:hAnsi="黑体" w:eastAsia="黑体" w:cs="黑体"/>
          <w:kern w:val="0"/>
          <w:sz w:val="30"/>
          <w:szCs w:val="30"/>
        </w:rPr>
      </w:pPr>
      <w:r>
        <w:rPr>
          <w:rFonts w:hint="eastAsia" w:ascii="黑体" w:hAnsi="黑体" w:eastAsia="黑体" w:cs="黑体"/>
          <w:kern w:val="0"/>
          <w:sz w:val="30"/>
          <w:szCs w:val="30"/>
        </w:rPr>
        <w:t>四、项目基本概况</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jc w:val="both"/>
        <w:textAlignment w:val="auto"/>
        <w:rPr>
          <w:rFonts w:hint="eastAsia" w:eastAsia="仿宋_GB2312"/>
          <w:kern w:val="0"/>
          <w:sz w:val="30"/>
          <w:szCs w:val="30"/>
        </w:rPr>
      </w:pPr>
      <w:r>
        <w:rPr>
          <w:rFonts w:hint="eastAsia" w:eastAsia="仿宋_GB2312"/>
          <w:kern w:val="0"/>
          <w:sz w:val="30"/>
          <w:szCs w:val="30"/>
        </w:rPr>
        <w:t>（一）花都路（斗南街至瑞香西路段）市政道路建设项目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花都路（斗南街至瑞香西路段）市政道路位于斗南花卉产业园区，项目总投资5239.82万元，总长773.632米，红线宽40米。花都路（金桂街至瑞香街）已竣工结算，花都路（瑞香街到规划61号路）2020年11月启动建设，本次实施长度约为320米</w:t>
      </w:r>
      <w:r>
        <w:rPr>
          <w:rFonts w:hint="eastAsia" w:eastAsia="仿宋_GB2312"/>
          <w:kern w:val="0"/>
          <w:sz w:val="30"/>
          <w:szCs w:val="30"/>
          <w:lang w:eastAsia="zh-CN"/>
        </w:rPr>
        <w:t>，</w:t>
      </w:r>
      <w:r>
        <w:rPr>
          <w:rFonts w:hint="eastAsia" w:eastAsia="仿宋_GB2312"/>
          <w:kern w:val="0"/>
          <w:sz w:val="30"/>
          <w:szCs w:val="30"/>
        </w:rPr>
        <w:t>为城市次干路。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kern w:val="0"/>
          <w:sz w:val="30"/>
          <w:szCs w:val="30"/>
        </w:rPr>
      </w:pPr>
      <w:r>
        <w:rPr>
          <w:rFonts w:hint="eastAsia" w:eastAsia="仿宋_GB2312"/>
          <w:kern w:val="0"/>
          <w:sz w:val="30"/>
          <w:szCs w:val="30"/>
        </w:rPr>
        <w:t xml:space="preserve"> </w:t>
      </w:r>
      <w:r>
        <w:rPr>
          <w:rFonts w:hint="eastAsia" w:eastAsia="仿宋_GB2312"/>
          <w:kern w:val="0"/>
          <w:sz w:val="30"/>
          <w:szCs w:val="30"/>
          <w:lang w:val="en-US" w:eastAsia="zh-CN"/>
        </w:rPr>
        <w:t xml:space="preserve"> </w:t>
      </w:r>
      <w:r>
        <w:rPr>
          <w:rFonts w:hint="eastAsia" w:eastAsia="仿宋_GB2312"/>
          <w:kern w:val="0"/>
          <w:sz w:val="30"/>
          <w:szCs w:val="30"/>
        </w:rPr>
        <w:t>（二）联大路二分路、呈贡25、呈贡30、彩云路西二分路建设项目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联大路二分路建设项目位于呈贡区雨花片区，联大路南侧，起点接谊康南路，止点接彩云南路，总投资4050.35万元，总长432.272米，红线宽30米，规划为城市次干路；呈贡25号路建设项目位于呈贡区雨花片区，联大路南侧，起点接谊康南路，由西向东，止点接彩云南路，总投资2942.53万元，总长435.764米，红线宽20米，规划为城市支路；彩云路西二分路建设项目位于呈贡区雨花片区内，彩云南路西侧，起点接联大路，止点接韶光街，总投资3398.85万元，总长375.377米，红线宽30米，规划为城市次干路；呈贡30号路建设项目位于呈贡区雨花片区，彩云路西侧，起点接联大路，由北向南，止点接韶光街，总投资2903.36万元，总长375.722米，红线宽20米，规划为步行及自行车专用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（三）呈贡17（南段）、28（东段）、31（东段）、彩云路东二分路（南段）市政道路建设项目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四条市政道路均位于呈贡新区涌鑫哈弗中心商业楼盘项目内。呈贡17（南段）市政道路从韶光街至聚贤街，呈贡28（东段）市政道路从彩云路至谊康南路，呈贡31（东段）市政道路从彩云路至谊康南路，彩云路东二分路（南段）从韶光街至聚贤街。其中呈贡17（南段）、呈贡28（东段）呈贡31（东段）三条道路红线宽度均为20米，彩云路东二分路（南段）红线宽度为30米，四条市政道路总长1592.55米，总投资约9132.52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（四）市政道路、桥梁、市政设施管养维护专项经费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用于对呈贡辖区内已移交的城市道路、桥梁（隧道）和市政设施进行管养维护，目前在管城市道路长度约170公里，面积约594万平方米，桥梁49座，隧道6座。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kern w:val="0"/>
          <w:sz w:val="30"/>
          <w:szCs w:val="30"/>
        </w:rPr>
      </w:pPr>
      <w:r>
        <w:rPr>
          <w:rFonts w:hint="eastAsia" w:ascii="黑体" w:hAnsi="黑体" w:eastAsia="黑体" w:cs="黑体"/>
          <w:kern w:val="0"/>
          <w:sz w:val="30"/>
          <w:szCs w:val="30"/>
        </w:rPr>
        <w:t xml:space="preserve">    五、项目实施内容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 xml:space="preserve">（一）花都路（斗南街至瑞香西路段）市政道路建设项目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按照施工合同及进度支付进度款及监理、造价、设计等服务费用。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联大路二分路、呈贡25、呈贡30、彩云路西二分路建设项目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根据工程进度支付工程进度款及后续工程验收、审计工作。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lang w:eastAsia="zh-CN"/>
        </w:rPr>
        <w:t>（</w:t>
      </w:r>
      <w:r>
        <w:rPr>
          <w:rFonts w:hint="eastAsia" w:eastAsia="仿宋_GB2312"/>
          <w:kern w:val="0"/>
          <w:sz w:val="30"/>
          <w:szCs w:val="30"/>
          <w:lang w:val="en-US" w:eastAsia="zh-CN"/>
        </w:rPr>
        <w:t>三）</w:t>
      </w:r>
      <w:r>
        <w:rPr>
          <w:rFonts w:hint="eastAsia" w:eastAsia="仿宋_GB2312"/>
          <w:kern w:val="0"/>
          <w:sz w:val="30"/>
          <w:szCs w:val="30"/>
        </w:rPr>
        <w:t>呈贡17（南段）、28（东段）、31（东段）、彩云路东二分路（南段）市政道路建设项目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根据地产公司提交的施工作业面组织建设</w:t>
      </w:r>
      <w:r>
        <w:rPr>
          <w:rFonts w:hint="eastAsia" w:eastAsia="仿宋_GB2312"/>
          <w:kern w:val="0"/>
          <w:sz w:val="30"/>
          <w:szCs w:val="30"/>
          <w:lang w:eastAsia="zh-CN"/>
        </w:rPr>
        <w:t>，</w:t>
      </w:r>
      <w:r>
        <w:rPr>
          <w:rFonts w:hint="eastAsia" w:eastAsia="仿宋_GB2312"/>
          <w:kern w:val="0"/>
          <w:sz w:val="30"/>
          <w:szCs w:val="30"/>
        </w:rPr>
        <w:t>建设内容为道路工程、排水系统、照明及电气系统</w:t>
      </w:r>
      <w:r>
        <w:rPr>
          <w:rFonts w:hint="eastAsia" w:eastAsia="仿宋_GB2312"/>
          <w:kern w:val="0"/>
          <w:sz w:val="30"/>
          <w:szCs w:val="30"/>
          <w:lang w:eastAsia="zh-CN"/>
        </w:rPr>
        <w:t>、</w:t>
      </w:r>
      <w:r>
        <w:rPr>
          <w:rFonts w:hint="eastAsia" w:eastAsia="仿宋_GB2312"/>
          <w:kern w:val="0"/>
          <w:sz w:val="30"/>
          <w:szCs w:val="30"/>
        </w:rPr>
        <w:t>管线综合设计、交通工程、绿化工程等。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lang w:eastAsia="zh-CN"/>
        </w:rPr>
        <w:t>（</w:t>
      </w:r>
      <w:r>
        <w:rPr>
          <w:rFonts w:hint="eastAsia" w:eastAsia="仿宋_GB2312"/>
          <w:kern w:val="0"/>
          <w:sz w:val="30"/>
          <w:szCs w:val="30"/>
          <w:lang w:val="en-US" w:eastAsia="zh-CN"/>
        </w:rPr>
        <w:t>四）</w:t>
      </w:r>
      <w:r>
        <w:rPr>
          <w:rFonts w:hint="eastAsia" w:eastAsia="仿宋_GB2312"/>
          <w:kern w:val="0"/>
          <w:sz w:val="30"/>
          <w:szCs w:val="30"/>
        </w:rPr>
        <w:t>市政道路、桥梁、市政设施管养维护专项经费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对呈贡区辖区内城市道路、桥梁（隧道）安全检测及隐患排查工作</w:t>
      </w:r>
      <w:r>
        <w:rPr>
          <w:rFonts w:hint="eastAsia" w:eastAsia="仿宋_GB2312"/>
          <w:kern w:val="0"/>
          <w:sz w:val="30"/>
          <w:szCs w:val="30"/>
          <w:lang w:eastAsia="zh-CN"/>
        </w:rPr>
        <w:t>，</w:t>
      </w:r>
      <w:r>
        <w:rPr>
          <w:rFonts w:hint="eastAsia" w:eastAsia="仿宋_GB2312"/>
          <w:kern w:val="0"/>
          <w:sz w:val="30"/>
          <w:szCs w:val="30"/>
        </w:rPr>
        <w:t>修复破损路面</w:t>
      </w:r>
      <w:r>
        <w:rPr>
          <w:rFonts w:hint="eastAsia" w:eastAsia="仿宋_GB2312"/>
          <w:kern w:val="0"/>
          <w:sz w:val="30"/>
          <w:szCs w:val="30"/>
          <w:lang w:eastAsia="zh-CN"/>
        </w:rPr>
        <w:t>，</w:t>
      </w:r>
      <w:r>
        <w:rPr>
          <w:rFonts w:hint="eastAsia" w:eastAsia="仿宋_GB2312"/>
          <w:kern w:val="0"/>
          <w:sz w:val="30"/>
          <w:szCs w:val="30"/>
        </w:rPr>
        <w:t>城市道路、桥梁（隧道）、市政基础设施设置、管养维护项目工程款</w:t>
      </w:r>
      <w:r>
        <w:rPr>
          <w:rFonts w:hint="eastAsia" w:eastAsia="仿宋_GB2312"/>
          <w:kern w:val="0"/>
          <w:sz w:val="30"/>
          <w:szCs w:val="30"/>
          <w:lang w:eastAsia="zh-CN"/>
        </w:rPr>
        <w:t>，</w:t>
      </w:r>
      <w:r>
        <w:rPr>
          <w:rFonts w:hint="eastAsia" w:eastAsia="仿宋_GB2312"/>
          <w:kern w:val="0"/>
          <w:sz w:val="30"/>
          <w:szCs w:val="30"/>
        </w:rPr>
        <w:t>委托第三方机构开展招标代理服务、造价咨询、工程监理等服务以及桥梁、隧道检测等。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黑体"/>
          <w:kern w:val="0"/>
          <w:sz w:val="30"/>
          <w:szCs w:val="30"/>
        </w:rPr>
      </w:pPr>
      <w:r>
        <w:rPr>
          <w:rFonts w:hint="eastAsia" w:ascii="黑体" w:hAnsi="黑体" w:eastAsia="黑体" w:cs="黑体"/>
          <w:kern w:val="0"/>
          <w:sz w:val="30"/>
          <w:szCs w:val="30"/>
        </w:rPr>
        <w:t>六、资金安排情况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根据财政安排滇中引水二期工程（呈贡区）资本金出资专项资金1200万元，结转用于以下四个项目：花都路（斗南街至瑞香西路段）市政道路建设项目安排资金100万元，联大路二分路、呈贡25、呈贡30、彩云路西二分路建设项目安排资金100万元</w:t>
      </w:r>
      <w:r>
        <w:rPr>
          <w:rFonts w:hint="eastAsia" w:eastAsia="仿宋_GB2312"/>
          <w:kern w:val="0"/>
          <w:sz w:val="30"/>
          <w:szCs w:val="30"/>
          <w:lang w:eastAsia="zh-CN"/>
        </w:rPr>
        <w:t>，</w:t>
      </w:r>
      <w:r>
        <w:rPr>
          <w:rFonts w:hint="eastAsia" w:eastAsia="仿宋_GB2312"/>
          <w:kern w:val="0"/>
          <w:sz w:val="30"/>
          <w:szCs w:val="30"/>
        </w:rPr>
        <w:t>呈贡17（南段）、28（东段）、31（东段）、彩云路东二分路（南段）市 政道路建设项目安排资金300万元，市政道路、桥梁、市政设施管养维护专项经费安排资金700万元。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kern w:val="0"/>
          <w:sz w:val="30"/>
          <w:szCs w:val="30"/>
        </w:rPr>
      </w:pPr>
      <w:r>
        <w:rPr>
          <w:rFonts w:hint="eastAsia" w:ascii="黑体" w:hAnsi="黑体" w:eastAsia="黑体" w:cs="黑体"/>
          <w:kern w:val="0"/>
          <w:sz w:val="30"/>
          <w:szCs w:val="30"/>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（一）花都路（斗南街至瑞香西路段）市政道路建设项目，花都路（金桂街至瑞香街）已竣工结算，花都路（瑞香街到规划</w:t>
      </w:r>
    </w:p>
    <w:p>
      <w:pPr>
        <w:keepNext w:val="0"/>
        <w:keepLines w:val="0"/>
        <w:pageBreakBefore w:val="0"/>
        <w:widowControl w:val="0"/>
        <w:tabs>
          <w:tab w:val="left" w:pos="5035"/>
        </w:tabs>
        <w:kinsoku/>
        <w:wordWrap/>
        <w:overflowPunct/>
        <w:topLinePunct w:val="0"/>
        <w:autoSpaceDE/>
        <w:autoSpaceDN/>
        <w:bidi w:val="0"/>
        <w:adjustRightInd/>
        <w:snapToGrid/>
        <w:spacing w:line="560" w:lineRule="exact"/>
        <w:jc w:val="both"/>
        <w:textAlignment w:val="auto"/>
        <w:rPr>
          <w:rFonts w:hint="eastAsia" w:eastAsia="仿宋_GB2312"/>
          <w:kern w:val="0"/>
          <w:sz w:val="30"/>
          <w:szCs w:val="30"/>
        </w:rPr>
      </w:pPr>
      <w:r>
        <w:rPr>
          <w:rFonts w:hint="eastAsia" w:eastAsia="仿宋_GB2312"/>
          <w:kern w:val="0"/>
          <w:sz w:val="30"/>
          <w:szCs w:val="30"/>
        </w:rPr>
        <w:t>61号路）2020年11月启动建设。项目于2023年2月3日竣工，2023年计划完成结算。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（二）联大路二分路、呈贡25、呈贡30、彩云路西二分路建设项目，计划项目于2022年7月8日竣工，2023年完成审计。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三）呈贡17（南段）、28（东段）、31（东段）、彩云路东二分路（南段）市政道路建设项目，其中呈贡17（南段）、28（东段）段计划2024年3月完工，31（东段）、彩云路东二分路（南段）实际要据地产公司提交的施工作业面组织建设施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（四）市政道路、桥梁、市政设施管养维护专项经费，对呈贡辖区内已移交的城市道路、桥梁和市政设施进行管养维护，实施全年常态化管养维护。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黑体"/>
          <w:kern w:val="0"/>
          <w:sz w:val="30"/>
          <w:szCs w:val="30"/>
        </w:rPr>
      </w:pPr>
      <w:r>
        <w:rPr>
          <w:rFonts w:hint="eastAsia" w:ascii="黑体" w:hAnsi="黑体" w:eastAsia="黑体" w:cs="黑体"/>
          <w:kern w:val="0"/>
          <w:sz w:val="30"/>
          <w:szCs w:val="30"/>
        </w:rPr>
        <w:t>八、项目实施成效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（一）花都路（斗南街至瑞香西路段）市政道路建设项目</w:t>
      </w:r>
      <w:r>
        <w:rPr>
          <w:rFonts w:hint="eastAsia" w:eastAsia="仿宋_GB2312"/>
          <w:kern w:val="0"/>
          <w:sz w:val="30"/>
          <w:szCs w:val="30"/>
          <w:lang w:eastAsia="zh-CN"/>
        </w:rPr>
        <w:t>，</w:t>
      </w:r>
      <w:r>
        <w:rPr>
          <w:rFonts w:hint="eastAsia" w:eastAsia="仿宋_GB2312"/>
          <w:kern w:val="0"/>
          <w:sz w:val="30"/>
          <w:szCs w:val="30"/>
        </w:rPr>
        <w:t>花都路市政道路主要服务斗南国际花卉产业园区，本项目的实施完善片区路网，满足区域经济和交通发展及提升片区人们生活水平，加快推进园区内招商引资进程发挥重要作用。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（二）联大路二分路、呈贡25、呈贡30、彩云路西二分路建设项目</w:t>
      </w:r>
      <w:r>
        <w:rPr>
          <w:rFonts w:hint="eastAsia" w:eastAsia="仿宋_GB2312"/>
          <w:kern w:val="0"/>
          <w:sz w:val="30"/>
          <w:szCs w:val="30"/>
          <w:lang w:eastAsia="zh-CN"/>
        </w:rPr>
        <w:t>，</w:t>
      </w:r>
      <w:r>
        <w:rPr>
          <w:rFonts w:hint="eastAsia" w:eastAsia="仿宋_GB2312"/>
          <w:kern w:val="0"/>
          <w:sz w:val="30"/>
          <w:szCs w:val="30"/>
        </w:rPr>
        <w:t>项目位于呈贡区雨花片区，片区内部断头路多，次支路网较缺乏，该项目采用“小街坊、密路网”格局，让交通组织更加灵活，从而提高整个路网的通行能力和效率。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kern w:val="0"/>
          <w:sz w:val="30"/>
          <w:szCs w:val="30"/>
        </w:rPr>
      </w:pPr>
      <w:r>
        <w:rPr>
          <w:rFonts w:hint="eastAsia" w:eastAsia="仿宋_GB2312"/>
          <w:kern w:val="0"/>
          <w:sz w:val="30"/>
          <w:szCs w:val="30"/>
        </w:rPr>
        <w:t>（三）呈贡17（南段）、28（东段）、31（东段）、彩云路东二分路（南段）四条市政道路均位于呈贡新区涌鑫哈弗中心商业楼盘项目内，市政道路建设项目，本项目的实施,能有效改善交通微循环</w:t>
      </w:r>
      <w:r>
        <w:rPr>
          <w:rFonts w:hint="eastAsia" w:eastAsia="仿宋_GB2312"/>
          <w:kern w:val="0"/>
          <w:sz w:val="30"/>
          <w:szCs w:val="30"/>
          <w:lang w:eastAsia="zh-CN"/>
        </w:rPr>
        <w:t>，</w:t>
      </w:r>
      <w:r>
        <w:rPr>
          <w:rFonts w:hint="eastAsia" w:eastAsia="仿宋_GB2312"/>
          <w:kern w:val="0"/>
          <w:sz w:val="30"/>
          <w:szCs w:val="30"/>
        </w:rPr>
        <w:t>完善片区路网</w:t>
      </w:r>
      <w:r>
        <w:rPr>
          <w:rFonts w:hint="eastAsia" w:eastAsia="仿宋_GB2312"/>
          <w:kern w:val="0"/>
          <w:sz w:val="30"/>
          <w:szCs w:val="30"/>
          <w:lang w:eastAsia="zh-CN"/>
        </w:rPr>
        <w:t>，</w:t>
      </w:r>
      <w:r>
        <w:rPr>
          <w:rFonts w:hint="eastAsia" w:eastAsia="仿宋_GB2312"/>
          <w:kern w:val="0"/>
          <w:sz w:val="30"/>
          <w:szCs w:val="30"/>
        </w:rPr>
        <w:t>促进周边地块商业经济的形成与繁荣，减少即有道路拥挤，营造良好的人居环境，提升区域价值</w:t>
      </w:r>
      <w:r>
        <w:rPr>
          <w:rFonts w:hint="eastAsia" w:eastAsia="仿宋_GB2312"/>
          <w:kern w:val="0"/>
          <w:sz w:val="30"/>
          <w:szCs w:val="30"/>
          <w:lang w:eastAsia="zh-CN"/>
        </w:rPr>
        <w:t>，</w:t>
      </w:r>
      <w:r>
        <w:rPr>
          <w:rFonts w:hint="eastAsia" w:eastAsia="仿宋_GB2312"/>
          <w:kern w:val="0"/>
          <w:sz w:val="30"/>
          <w:szCs w:val="30"/>
        </w:rPr>
        <w:t>营造良好的人居环境。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eastAsia="仿宋_GB2312"/>
          <w:kern w:val="0"/>
          <w:sz w:val="30"/>
          <w:szCs w:val="30"/>
        </w:rPr>
      </w:pPr>
      <w:r>
        <w:rPr>
          <w:rFonts w:hint="eastAsia" w:eastAsia="仿宋_GB2312"/>
          <w:kern w:val="0"/>
          <w:sz w:val="30"/>
          <w:szCs w:val="30"/>
        </w:rPr>
        <w:t>（四）市政道路、桥梁、市政设施管养维护专项经费，对呈贡辖区内已移交的城市道路、桥梁和市政设施进行管养维护，实施全年常态化。提升城市道路管理维护工作，确保呈贡区城市道路平坦通畅，进一步提高城市道路精细化管理水平，扎实做好呈贡区城市道路平坦化提质提升工作。</w:t>
      </w:r>
    </w:p>
    <w:p>
      <w:pPr>
        <w:keepNext w:val="0"/>
        <w:keepLines w:val="0"/>
        <w:pageBreakBefore w:val="0"/>
        <w:widowControl w:val="0"/>
        <w:numPr>
          <w:ilvl w:val="0"/>
          <w:numId w:val="3"/>
        </w:numPr>
        <w:kinsoku/>
        <w:wordWrap/>
        <w:overflowPunct/>
        <w:topLinePunct w:val="0"/>
        <w:bidi w:val="0"/>
        <w:spacing w:line="560" w:lineRule="exact"/>
        <w:ind w:firstLine="600" w:firstLineChars="200"/>
        <w:jc w:val="left"/>
        <w:textAlignment w:val="auto"/>
        <w:rPr>
          <w:rFonts w:ascii="黑体" w:hAnsi="黑体" w:eastAsia="黑体" w:cs="黑体"/>
          <w:kern w:val="0"/>
          <w:sz w:val="30"/>
          <w:szCs w:val="30"/>
        </w:rPr>
      </w:pPr>
      <w:r>
        <w:rPr>
          <w:rFonts w:hint="eastAsia" w:ascii="黑体" w:hAnsi="黑体" w:eastAsia="黑体" w:cs="黑体"/>
          <w:kern w:val="0"/>
          <w:sz w:val="30"/>
          <w:szCs w:val="30"/>
        </w:rPr>
        <w:t>项目绩效目标表</w:t>
      </w:r>
    </w:p>
    <w:p>
      <w:pPr>
        <w:pStyle w:val="2"/>
        <w:keepNext w:val="0"/>
        <w:keepLines w:val="0"/>
        <w:pageBreakBefore w:val="0"/>
        <w:widowControl w:val="0"/>
        <w:kinsoku/>
        <w:wordWrap/>
        <w:overflowPunct/>
        <w:topLinePunct w:val="0"/>
        <w:bidi w:val="0"/>
        <w:textAlignment w:val="auto"/>
        <w:rPr>
          <w:rFonts w:hint="default"/>
        </w:rPr>
      </w:pPr>
      <w:r>
        <w:drawing>
          <wp:anchor distT="0" distB="0" distL="114300" distR="114300" simplePos="0" relativeHeight="251659264" behindDoc="0" locked="0" layoutInCell="1" allowOverlap="1">
            <wp:simplePos x="0" y="0"/>
            <wp:positionH relativeFrom="column">
              <wp:posOffset>-863600</wp:posOffset>
            </wp:positionH>
            <wp:positionV relativeFrom="paragraph">
              <wp:posOffset>-3976370</wp:posOffset>
            </wp:positionV>
            <wp:extent cx="6714490" cy="7406640"/>
            <wp:effectExtent l="0" t="0" r="3810"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714490" cy="740664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bidi w:val="0"/>
        <w:jc w:val="both"/>
        <w:textAlignment w:val="auto"/>
        <w:rPr>
          <w:rFonts w:hint="default"/>
        </w:rPr>
      </w:pPr>
    </w:p>
    <w:p>
      <w:pPr>
        <w:pStyle w:val="2"/>
        <w:keepNext w:val="0"/>
        <w:keepLines w:val="0"/>
        <w:pageBreakBefore w:val="0"/>
        <w:widowControl w:val="0"/>
        <w:kinsoku/>
        <w:wordWrap/>
        <w:overflowPunct/>
        <w:topLinePunct w:val="0"/>
        <w:bidi w:val="0"/>
        <w:textAlignment w:val="auto"/>
        <w:rPr>
          <w:rFonts w:hint="default"/>
        </w:rPr>
      </w:pPr>
      <w:r>
        <w:drawing>
          <wp:anchor distT="0" distB="0" distL="114300" distR="114300" simplePos="0" relativeHeight="251660288" behindDoc="1" locked="0" layoutInCell="1" allowOverlap="1">
            <wp:simplePos x="0" y="0"/>
            <wp:positionH relativeFrom="column">
              <wp:posOffset>-300990</wp:posOffset>
            </wp:positionH>
            <wp:positionV relativeFrom="paragraph">
              <wp:posOffset>332740</wp:posOffset>
            </wp:positionV>
            <wp:extent cx="6541770" cy="9271000"/>
            <wp:effectExtent l="0" t="0" r="11430" b="0"/>
            <wp:wrapTight wrapText="bothSides">
              <wp:wrapPolygon>
                <wp:start x="0" y="0"/>
                <wp:lineTo x="0" y="21570"/>
                <wp:lineTo x="21554" y="21570"/>
                <wp:lineTo x="2155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541770" cy="9271000"/>
                    </a:xfrm>
                    <a:prstGeom prst="rect">
                      <a:avLst/>
                    </a:prstGeom>
                    <a:noFill/>
                    <a:ln>
                      <a:noFill/>
                    </a:ln>
                  </pic:spPr>
                </pic:pic>
              </a:graphicData>
            </a:graphic>
          </wp:anchor>
        </w:drawing>
      </w:r>
    </w:p>
    <w:tbl>
      <w:tblPr>
        <w:tblStyle w:val="9"/>
        <w:tblW w:w="91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
        <w:gridCol w:w="463"/>
        <w:gridCol w:w="1116"/>
        <w:gridCol w:w="675"/>
        <w:gridCol w:w="1012"/>
        <w:gridCol w:w="396"/>
        <w:gridCol w:w="597"/>
        <w:gridCol w:w="756"/>
        <w:gridCol w:w="1006"/>
        <w:gridCol w:w="2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32"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项目目标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总体目标(2023年-2025年)</w:t>
            </w:r>
          </w:p>
        </w:tc>
        <w:tc>
          <w:tcPr>
            <w:tcW w:w="716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为落实省委、省政府，市委、市政府有关市容环境保障工作的要求，提升城市道路管理维护工作，确保呈贡区城市道路平坦通畅，进一步提高城市道路精细化管理水平，扎实做好呈贡区城市道路平坦化提质提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预算年度(2023年)目标</w:t>
            </w:r>
          </w:p>
        </w:tc>
        <w:tc>
          <w:tcPr>
            <w:tcW w:w="716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相关规范、规定与相关工作要求安排，结合部门职能职责，对呈贡辖区内移交至行政管理部门维护管养的城市道路、桥梁（隧道）和相关市政设施开展维护管养工作；对网格化案件、12345热线件、投诉建议等案件进行处置；对桥梁（隧道）的使用状况、缺陷情况的现场检查，综合评估受检桥梁（隧道）及各部件的技术状况、桥梁承载能力状况，为桥梁（隧道）养护提供技术支撑，为桥梁（隧道）科学管理和提高养护水平积累技术资料。确保辖区城市道路平坦通畅，道路、桥梁（隧道）运行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绩效指标</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评（扣）分标准</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指标内容</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指标性质</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指标值</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度量单位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指标属性</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产出指标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修复破损路面</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修缮质量达到相关要求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纳入行政管理部门维护管养的城市道路、桥梁（隧道）和相关市政设施功能正常发挥</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共昆明市呈贡区委机构编制委员会《关于调整呈贡区城市道路桥梁（隧道）管理养护职责及机构编制事项的通知》（呈编〔2021〕23号）、《昆明市人民政府办公厅关于印发昆明市城市道路及附属设施移交管理实施细则的通知》（昆政办〔2012〕51号）、《城镇道路养护技术规范》（CJJ 36-2016）、《城市桥梁养护技术标准》（CJJ 99-2017）、《公路隧道养护技术规范》（JTG H12-2015）等相关规范规定。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网格化案件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处理完成</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预计2022年处置网格化案件</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参照2021年处理件数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开展城市道路、桥梁（隧道）安全检测及隐患排查工作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座</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全覆盖</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纳入行政管理部门维护管养的桥梁（隧道）按照相关规范开展检测工作。</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《城市桥梁养护技术标准》（CJJ 99-2017）、《公路隧道养护技术规范》（JTG H12-2015）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道路、桥梁（隧道）维护管养施工验收合格率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合格</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合格</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验收合格</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符合《建筑工程施工质量验收统一标准》（GB50300-2013）、地方现行相关质量验收标准的要求等现行标准。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时效指标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道路、桥梁（隧道）维护管养施工项目按计划完成时限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计划时间内</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时效时间</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符合《城镇道路养护技术规范》（CJJ 36-2016）、《城市桥梁养护技术标准》（CJJ 99-2017）、《公路隧道养护技术规范》（JTG H12-2015）相关要求。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成本指标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呈贡区2019—2020年道路、桥梁、人行道、市政基础设施设置、管养维护项目工程款</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118.26</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预算范围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根据合同约定开展维护管养施工工作内容；工程审核报告</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昆明市呈贡区城市管理局所属呈贡区城市道路桥梁（隧道）管理养护工作移交昆明市呈贡区住房和城乡建设局移交书；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呈贡区2019—2020年道路、桥梁、人行道、市政基础设施设置、管养维护项目建设工程施工合同；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补充协议；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延期协议；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呈贡区城市道路、桥梁（隧道）、市政基础设施设置、管养维护项目工程款</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预算范围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根据合同约定开展维护管养施工工作内容；工程审核报告</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《关于调整呈贡区城市道路桥梁（隧道）管理养护职责及机构编制事项的通知》（呈编〔2021〕23号）；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成交公告；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成交通知书；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呈贡区城市道路、桥梁（隧道）、市政基础设施设置、管养维护项目中标合同；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工程审核报告（最终支付情况以第三方审核结算报告为准）；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呈贡区2023年—2024年城市道路、桥梁（隧道）管养维护项目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预算范围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道路、桥梁（隧道）和相关市政设施维护管养、网格化案件、12345热线件、投诉建议等案件处置工作</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中华人民共和国招标投标法；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中华人民共和国政府采购法；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《关于调整呈贡区城市道路桥梁（隧道）管理养护职责及机构编制事项的通知》（呈编〔2021〕23号）；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《城镇道路养护技术规范》（CJJ 36-2016）；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《城市桥梁养护技术标准》（CJJ 99-2017）；</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《公路隧道养护技术规范》（JTG H12-2015）；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第三方委托服务费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20.74</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预算范围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开展招标代理服务、造价咨询、工程监理等服务</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中华人民共和国招</w:t>
            </w:r>
            <w:bookmarkStart w:id="0" w:name="_GoBack"/>
            <w:bookmarkEnd w:id="0"/>
            <w:r>
              <w:rPr>
                <w:rFonts w:hint="eastAsia" w:ascii="仿宋" w:hAnsi="仿宋" w:eastAsia="仿宋" w:cs="仿宋"/>
                <w:i w:val="0"/>
                <w:iCs w:val="0"/>
                <w:color w:val="000000"/>
                <w:kern w:val="0"/>
                <w:sz w:val="18"/>
                <w:szCs w:val="18"/>
                <w:u w:val="none"/>
                <w:lang w:val="en-US" w:eastAsia="zh-CN" w:bidi="ar"/>
              </w:rPr>
              <w:t>标投标法；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中华人民共和国政府采购法；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《建设工程质量管理条例》（中华人民共和国国务院令第279号）；住房城乡建设部关于发布国家标准《建设工程造价咨询规范》的公告；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国家发展改革委住房城乡建设部关于推进全过程工程咨询服务发展的指导意见（发改投资规〔2019〕515号）；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住房城乡建设部关于发布国家标准《建设工程监理规范》的公告；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桥梁、隧道检测经费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预算范围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开展桥梁、隧道安全检测工作</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中华人民共和国招标投标法；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中华人民共和国政府采购法；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《关于调整呈贡区城市道路桥梁（隧道）管理养护职责及机构编制事项的通知》（呈编〔2021〕23号）；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《城镇道路养护技术规范》（CJJ 36-2016）；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《城市桥梁养护技术标准》（CJJ 99-2017）；</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《公路隧道养护技术规范》（JTG H12-2015）；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水电及办公经费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定量指标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预算范围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道路及人行天桥未移交前产生水电费</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依据2022年工作开展及实际发生测算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效益指标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受益人群覆盖率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全覆盖</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受益人群覆盖</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可持续影响指标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对呈贡区未来可持续发展影响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持续提升</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持续提升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持续提升</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满意度指标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服务对象满意度指标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群众满意度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持续提升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持续提升</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开展工作任务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bl>
    <w:p>
      <w:pPr>
        <w:pStyle w:val="2"/>
        <w:keepNext w:val="0"/>
        <w:keepLines w:val="0"/>
        <w:pageBreakBefore w:val="0"/>
        <w:widowControl w:val="0"/>
        <w:kinsoku/>
        <w:wordWrap/>
        <w:overflowPunct/>
        <w:topLinePunct w:val="0"/>
        <w:bidi w:val="0"/>
        <w:textAlignment w:val="auto"/>
        <w:rPr>
          <w:rFonts w:hint="default"/>
        </w:rPr>
      </w:pPr>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2AE2F"/>
    <w:multiLevelType w:val="singleLevel"/>
    <w:tmpl w:val="37A2AE2F"/>
    <w:lvl w:ilvl="0" w:tentative="0">
      <w:start w:val="2"/>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pPr>
        <w:ind w:left="30"/>
      </w:pPr>
      <w:rPr>
        <w:rFonts w:hint="eastAsia"/>
      </w:rPr>
    </w:lvl>
  </w:abstractNum>
  <w:abstractNum w:abstractNumId="2">
    <w:nsid w:val="790AC5A1"/>
    <w:multiLevelType w:val="singleLevel"/>
    <w:tmpl w:val="790AC5A1"/>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M2NWFhOWJiOGEwMDU3NmFjZTc5NmFiODhjMGZjMjcifQ=="/>
  </w:docVars>
  <w:rsids>
    <w:rsidRoot w:val="00F45AD5"/>
    <w:rsid w:val="0000585F"/>
    <w:rsid w:val="0000790E"/>
    <w:rsid w:val="00010713"/>
    <w:rsid w:val="00011F4A"/>
    <w:rsid w:val="00012FB3"/>
    <w:rsid w:val="00013680"/>
    <w:rsid w:val="00014D4F"/>
    <w:rsid w:val="000152A5"/>
    <w:rsid w:val="000237AB"/>
    <w:rsid w:val="0003248D"/>
    <w:rsid w:val="00034005"/>
    <w:rsid w:val="0005317B"/>
    <w:rsid w:val="000543CA"/>
    <w:rsid w:val="00054EA9"/>
    <w:rsid w:val="000559B2"/>
    <w:rsid w:val="00060B5F"/>
    <w:rsid w:val="00063177"/>
    <w:rsid w:val="00064C37"/>
    <w:rsid w:val="00070204"/>
    <w:rsid w:val="000723D1"/>
    <w:rsid w:val="00073344"/>
    <w:rsid w:val="00074721"/>
    <w:rsid w:val="00081157"/>
    <w:rsid w:val="000821A5"/>
    <w:rsid w:val="00083CB1"/>
    <w:rsid w:val="00085843"/>
    <w:rsid w:val="000860FB"/>
    <w:rsid w:val="0009409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1DB3"/>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4616"/>
    <w:rsid w:val="001A784A"/>
    <w:rsid w:val="001B045D"/>
    <w:rsid w:val="001B7BC4"/>
    <w:rsid w:val="001C1C89"/>
    <w:rsid w:val="001C55D5"/>
    <w:rsid w:val="001D120C"/>
    <w:rsid w:val="001D7705"/>
    <w:rsid w:val="001E03BD"/>
    <w:rsid w:val="001E684A"/>
    <w:rsid w:val="00200BD6"/>
    <w:rsid w:val="00211FDA"/>
    <w:rsid w:val="00216177"/>
    <w:rsid w:val="002230AE"/>
    <w:rsid w:val="002247D0"/>
    <w:rsid w:val="00224F80"/>
    <w:rsid w:val="0022507C"/>
    <w:rsid w:val="00226979"/>
    <w:rsid w:val="002406F5"/>
    <w:rsid w:val="00242E76"/>
    <w:rsid w:val="00243464"/>
    <w:rsid w:val="002462A8"/>
    <w:rsid w:val="00247731"/>
    <w:rsid w:val="00252FCC"/>
    <w:rsid w:val="00253C74"/>
    <w:rsid w:val="002564F0"/>
    <w:rsid w:val="00262BAD"/>
    <w:rsid w:val="002726B1"/>
    <w:rsid w:val="002727D0"/>
    <w:rsid w:val="002749C8"/>
    <w:rsid w:val="00275325"/>
    <w:rsid w:val="00281C06"/>
    <w:rsid w:val="00285DC4"/>
    <w:rsid w:val="00294AE7"/>
    <w:rsid w:val="00294B82"/>
    <w:rsid w:val="002A7BAE"/>
    <w:rsid w:val="002B11FA"/>
    <w:rsid w:val="002B2CA6"/>
    <w:rsid w:val="002B34ED"/>
    <w:rsid w:val="002B37A7"/>
    <w:rsid w:val="002B4342"/>
    <w:rsid w:val="002B56EB"/>
    <w:rsid w:val="002B6D47"/>
    <w:rsid w:val="002C2555"/>
    <w:rsid w:val="002C7D21"/>
    <w:rsid w:val="002D1469"/>
    <w:rsid w:val="002D27CD"/>
    <w:rsid w:val="002D3EC0"/>
    <w:rsid w:val="002D61C0"/>
    <w:rsid w:val="002D729F"/>
    <w:rsid w:val="002E0E3C"/>
    <w:rsid w:val="002E1812"/>
    <w:rsid w:val="002E2B51"/>
    <w:rsid w:val="002E2F7F"/>
    <w:rsid w:val="002E4B20"/>
    <w:rsid w:val="002E5FC6"/>
    <w:rsid w:val="002E6D7D"/>
    <w:rsid w:val="002F2C1E"/>
    <w:rsid w:val="002F3C71"/>
    <w:rsid w:val="002F6E99"/>
    <w:rsid w:val="00300C47"/>
    <w:rsid w:val="00301F8F"/>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56B99"/>
    <w:rsid w:val="00360593"/>
    <w:rsid w:val="00360EF7"/>
    <w:rsid w:val="00361A07"/>
    <w:rsid w:val="003710A2"/>
    <w:rsid w:val="00372470"/>
    <w:rsid w:val="00376707"/>
    <w:rsid w:val="0037788A"/>
    <w:rsid w:val="0038029B"/>
    <w:rsid w:val="00383096"/>
    <w:rsid w:val="00383D54"/>
    <w:rsid w:val="00387612"/>
    <w:rsid w:val="003922B6"/>
    <w:rsid w:val="00392AA8"/>
    <w:rsid w:val="003931E6"/>
    <w:rsid w:val="003936C7"/>
    <w:rsid w:val="003A324A"/>
    <w:rsid w:val="003A73EF"/>
    <w:rsid w:val="003B2514"/>
    <w:rsid w:val="003B54C2"/>
    <w:rsid w:val="003B5BA8"/>
    <w:rsid w:val="003C0093"/>
    <w:rsid w:val="003C1BE1"/>
    <w:rsid w:val="003C53CC"/>
    <w:rsid w:val="003C6315"/>
    <w:rsid w:val="003C6F49"/>
    <w:rsid w:val="003D1204"/>
    <w:rsid w:val="003D160D"/>
    <w:rsid w:val="003D35F4"/>
    <w:rsid w:val="003D6601"/>
    <w:rsid w:val="003D6C9A"/>
    <w:rsid w:val="003E2D1F"/>
    <w:rsid w:val="003E2DE1"/>
    <w:rsid w:val="003E5754"/>
    <w:rsid w:val="003E6B79"/>
    <w:rsid w:val="003F171F"/>
    <w:rsid w:val="003F201E"/>
    <w:rsid w:val="003F3C0C"/>
    <w:rsid w:val="0040002C"/>
    <w:rsid w:val="00400C3B"/>
    <w:rsid w:val="00403507"/>
    <w:rsid w:val="00403546"/>
    <w:rsid w:val="00404DA0"/>
    <w:rsid w:val="004063F2"/>
    <w:rsid w:val="004073DF"/>
    <w:rsid w:val="004119FA"/>
    <w:rsid w:val="004158B8"/>
    <w:rsid w:val="00416B98"/>
    <w:rsid w:val="00420721"/>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46DC"/>
    <w:rsid w:val="00476EC1"/>
    <w:rsid w:val="00480582"/>
    <w:rsid w:val="0048694C"/>
    <w:rsid w:val="004911B1"/>
    <w:rsid w:val="00495B6E"/>
    <w:rsid w:val="00495E43"/>
    <w:rsid w:val="004A362F"/>
    <w:rsid w:val="004A742B"/>
    <w:rsid w:val="004B19D8"/>
    <w:rsid w:val="004B29ED"/>
    <w:rsid w:val="004B50FC"/>
    <w:rsid w:val="004C064B"/>
    <w:rsid w:val="004C1CDF"/>
    <w:rsid w:val="004D26D3"/>
    <w:rsid w:val="004D3A59"/>
    <w:rsid w:val="004D483C"/>
    <w:rsid w:val="004D6E1D"/>
    <w:rsid w:val="004F2C44"/>
    <w:rsid w:val="004F4F9F"/>
    <w:rsid w:val="004F5C1B"/>
    <w:rsid w:val="005054B5"/>
    <w:rsid w:val="00505533"/>
    <w:rsid w:val="00506344"/>
    <w:rsid w:val="005148D7"/>
    <w:rsid w:val="00521069"/>
    <w:rsid w:val="005248EA"/>
    <w:rsid w:val="0052572D"/>
    <w:rsid w:val="00531015"/>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5A0A"/>
    <w:rsid w:val="005C66D3"/>
    <w:rsid w:val="005D245F"/>
    <w:rsid w:val="005D3061"/>
    <w:rsid w:val="005D6260"/>
    <w:rsid w:val="005D6D58"/>
    <w:rsid w:val="005E6A58"/>
    <w:rsid w:val="005E7244"/>
    <w:rsid w:val="005F310F"/>
    <w:rsid w:val="00602B8A"/>
    <w:rsid w:val="0060314C"/>
    <w:rsid w:val="00610CF7"/>
    <w:rsid w:val="00612D63"/>
    <w:rsid w:val="00614B12"/>
    <w:rsid w:val="006150EC"/>
    <w:rsid w:val="006164DB"/>
    <w:rsid w:val="0061679D"/>
    <w:rsid w:val="006253D8"/>
    <w:rsid w:val="00626153"/>
    <w:rsid w:val="00632832"/>
    <w:rsid w:val="006374A1"/>
    <w:rsid w:val="006509C7"/>
    <w:rsid w:val="00651B6C"/>
    <w:rsid w:val="006540CB"/>
    <w:rsid w:val="00660B2A"/>
    <w:rsid w:val="00663D84"/>
    <w:rsid w:val="00672CCA"/>
    <w:rsid w:val="00682553"/>
    <w:rsid w:val="0068515C"/>
    <w:rsid w:val="00685956"/>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2539F"/>
    <w:rsid w:val="007328B9"/>
    <w:rsid w:val="007336B0"/>
    <w:rsid w:val="0073563C"/>
    <w:rsid w:val="00735ADA"/>
    <w:rsid w:val="00735D71"/>
    <w:rsid w:val="00736386"/>
    <w:rsid w:val="0074138A"/>
    <w:rsid w:val="00750940"/>
    <w:rsid w:val="00751AB4"/>
    <w:rsid w:val="00760280"/>
    <w:rsid w:val="0076269B"/>
    <w:rsid w:val="00765E00"/>
    <w:rsid w:val="00766131"/>
    <w:rsid w:val="0077005A"/>
    <w:rsid w:val="00772DB4"/>
    <w:rsid w:val="00780AAD"/>
    <w:rsid w:val="0078371A"/>
    <w:rsid w:val="00783A4C"/>
    <w:rsid w:val="0079250C"/>
    <w:rsid w:val="00794375"/>
    <w:rsid w:val="007A05BD"/>
    <w:rsid w:val="007A725D"/>
    <w:rsid w:val="007B029F"/>
    <w:rsid w:val="007B4A0F"/>
    <w:rsid w:val="007C05CB"/>
    <w:rsid w:val="007C09FB"/>
    <w:rsid w:val="007C1922"/>
    <w:rsid w:val="007C3153"/>
    <w:rsid w:val="007C656A"/>
    <w:rsid w:val="007C7656"/>
    <w:rsid w:val="007D066F"/>
    <w:rsid w:val="007D1AE5"/>
    <w:rsid w:val="007D5A91"/>
    <w:rsid w:val="007E3441"/>
    <w:rsid w:val="007E460F"/>
    <w:rsid w:val="007E68C9"/>
    <w:rsid w:val="007E76F1"/>
    <w:rsid w:val="007F1DA0"/>
    <w:rsid w:val="00803F6B"/>
    <w:rsid w:val="00804F26"/>
    <w:rsid w:val="00805901"/>
    <w:rsid w:val="00811B53"/>
    <w:rsid w:val="00816BAB"/>
    <w:rsid w:val="00817514"/>
    <w:rsid w:val="00825E03"/>
    <w:rsid w:val="00827ECC"/>
    <w:rsid w:val="0083106D"/>
    <w:rsid w:val="0083313F"/>
    <w:rsid w:val="00834D98"/>
    <w:rsid w:val="00835730"/>
    <w:rsid w:val="00835F23"/>
    <w:rsid w:val="0084210A"/>
    <w:rsid w:val="00843722"/>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147"/>
    <w:rsid w:val="008B2777"/>
    <w:rsid w:val="008B3519"/>
    <w:rsid w:val="008B4667"/>
    <w:rsid w:val="008B7085"/>
    <w:rsid w:val="008C0CBC"/>
    <w:rsid w:val="008C1602"/>
    <w:rsid w:val="008C1FFC"/>
    <w:rsid w:val="008C5EAD"/>
    <w:rsid w:val="008D1AD8"/>
    <w:rsid w:val="008D2E7D"/>
    <w:rsid w:val="008D5FED"/>
    <w:rsid w:val="008D7E4B"/>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6ED"/>
    <w:rsid w:val="00980F62"/>
    <w:rsid w:val="00981123"/>
    <w:rsid w:val="00982629"/>
    <w:rsid w:val="0098468C"/>
    <w:rsid w:val="0098667C"/>
    <w:rsid w:val="009907B9"/>
    <w:rsid w:val="00992351"/>
    <w:rsid w:val="009931C9"/>
    <w:rsid w:val="009A08B6"/>
    <w:rsid w:val="009A2377"/>
    <w:rsid w:val="009A4D11"/>
    <w:rsid w:val="009B3A6C"/>
    <w:rsid w:val="009B3ED3"/>
    <w:rsid w:val="009B4ADC"/>
    <w:rsid w:val="009C1730"/>
    <w:rsid w:val="009C7D78"/>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6AC8"/>
    <w:rsid w:val="00A37886"/>
    <w:rsid w:val="00A472C6"/>
    <w:rsid w:val="00A51E78"/>
    <w:rsid w:val="00A53E76"/>
    <w:rsid w:val="00A570A1"/>
    <w:rsid w:val="00A60974"/>
    <w:rsid w:val="00A61DCD"/>
    <w:rsid w:val="00A65535"/>
    <w:rsid w:val="00A724CF"/>
    <w:rsid w:val="00A7532F"/>
    <w:rsid w:val="00A761CF"/>
    <w:rsid w:val="00A81682"/>
    <w:rsid w:val="00A83DFE"/>
    <w:rsid w:val="00A84D92"/>
    <w:rsid w:val="00A84E65"/>
    <w:rsid w:val="00A9556B"/>
    <w:rsid w:val="00A95B6C"/>
    <w:rsid w:val="00AA7480"/>
    <w:rsid w:val="00AA7D4C"/>
    <w:rsid w:val="00AB1481"/>
    <w:rsid w:val="00AB1CD6"/>
    <w:rsid w:val="00AB2ABB"/>
    <w:rsid w:val="00AB5C67"/>
    <w:rsid w:val="00AB7C98"/>
    <w:rsid w:val="00AC47D9"/>
    <w:rsid w:val="00AD0DA1"/>
    <w:rsid w:val="00AE0209"/>
    <w:rsid w:val="00AE2095"/>
    <w:rsid w:val="00AE260F"/>
    <w:rsid w:val="00AE5322"/>
    <w:rsid w:val="00AE5FEF"/>
    <w:rsid w:val="00AE73E2"/>
    <w:rsid w:val="00AF1CF9"/>
    <w:rsid w:val="00AF2AE3"/>
    <w:rsid w:val="00AF7B4F"/>
    <w:rsid w:val="00AF7C58"/>
    <w:rsid w:val="00B05718"/>
    <w:rsid w:val="00B05787"/>
    <w:rsid w:val="00B15323"/>
    <w:rsid w:val="00B17238"/>
    <w:rsid w:val="00B259AC"/>
    <w:rsid w:val="00B268D9"/>
    <w:rsid w:val="00B26EC9"/>
    <w:rsid w:val="00B31B8F"/>
    <w:rsid w:val="00B333B0"/>
    <w:rsid w:val="00B36EB1"/>
    <w:rsid w:val="00B43561"/>
    <w:rsid w:val="00B440DB"/>
    <w:rsid w:val="00B4415D"/>
    <w:rsid w:val="00B45103"/>
    <w:rsid w:val="00B45D24"/>
    <w:rsid w:val="00B4769A"/>
    <w:rsid w:val="00B52992"/>
    <w:rsid w:val="00B538C6"/>
    <w:rsid w:val="00B62018"/>
    <w:rsid w:val="00B63114"/>
    <w:rsid w:val="00B64A22"/>
    <w:rsid w:val="00B66DD5"/>
    <w:rsid w:val="00B67D14"/>
    <w:rsid w:val="00B700C3"/>
    <w:rsid w:val="00B75A57"/>
    <w:rsid w:val="00B8042D"/>
    <w:rsid w:val="00B810FF"/>
    <w:rsid w:val="00B8418B"/>
    <w:rsid w:val="00B84519"/>
    <w:rsid w:val="00B87463"/>
    <w:rsid w:val="00B91E5C"/>
    <w:rsid w:val="00BA00E2"/>
    <w:rsid w:val="00BA0591"/>
    <w:rsid w:val="00BA4255"/>
    <w:rsid w:val="00BA4F5A"/>
    <w:rsid w:val="00BA7BBA"/>
    <w:rsid w:val="00BB3DE5"/>
    <w:rsid w:val="00BB4394"/>
    <w:rsid w:val="00BB5ABD"/>
    <w:rsid w:val="00BC1BA9"/>
    <w:rsid w:val="00BC41E1"/>
    <w:rsid w:val="00BC4538"/>
    <w:rsid w:val="00BD2FC7"/>
    <w:rsid w:val="00BD6EC1"/>
    <w:rsid w:val="00BE25AF"/>
    <w:rsid w:val="00BE3F11"/>
    <w:rsid w:val="00BF3FBF"/>
    <w:rsid w:val="00C01D14"/>
    <w:rsid w:val="00C0235E"/>
    <w:rsid w:val="00C04DD5"/>
    <w:rsid w:val="00C073D6"/>
    <w:rsid w:val="00C07645"/>
    <w:rsid w:val="00C12785"/>
    <w:rsid w:val="00C1402C"/>
    <w:rsid w:val="00C14D2D"/>
    <w:rsid w:val="00C15327"/>
    <w:rsid w:val="00C154E3"/>
    <w:rsid w:val="00C1677D"/>
    <w:rsid w:val="00C205DD"/>
    <w:rsid w:val="00C242B2"/>
    <w:rsid w:val="00C25F74"/>
    <w:rsid w:val="00C31FE6"/>
    <w:rsid w:val="00C35546"/>
    <w:rsid w:val="00C4092D"/>
    <w:rsid w:val="00C4278B"/>
    <w:rsid w:val="00C43BD2"/>
    <w:rsid w:val="00C44F90"/>
    <w:rsid w:val="00C47E9C"/>
    <w:rsid w:val="00C51F0F"/>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2DA2"/>
    <w:rsid w:val="00D03468"/>
    <w:rsid w:val="00D03E18"/>
    <w:rsid w:val="00D06094"/>
    <w:rsid w:val="00D103D4"/>
    <w:rsid w:val="00D110CC"/>
    <w:rsid w:val="00D1310A"/>
    <w:rsid w:val="00D165B0"/>
    <w:rsid w:val="00D249EC"/>
    <w:rsid w:val="00D30CFE"/>
    <w:rsid w:val="00D3123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77C33"/>
    <w:rsid w:val="00D83A9A"/>
    <w:rsid w:val="00D841C1"/>
    <w:rsid w:val="00D93010"/>
    <w:rsid w:val="00D946E9"/>
    <w:rsid w:val="00D9604F"/>
    <w:rsid w:val="00D9737C"/>
    <w:rsid w:val="00DA355A"/>
    <w:rsid w:val="00DA76AC"/>
    <w:rsid w:val="00DB0D28"/>
    <w:rsid w:val="00DB1420"/>
    <w:rsid w:val="00DB3D0C"/>
    <w:rsid w:val="00DB4D49"/>
    <w:rsid w:val="00DB561C"/>
    <w:rsid w:val="00DB767D"/>
    <w:rsid w:val="00DC07E5"/>
    <w:rsid w:val="00DC395D"/>
    <w:rsid w:val="00DC576C"/>
    <w:rsid w:val="00DC634D"/>
    <w:rsid w:val="00DD0FFA"/>
    <w:rsid w:val="00DD202C"/>
    <w:rsid w:val="00DD3863"/>
    <w:rsid w:val="00DE5376"/>
    <w:rsid w:val="00DE60D1"/>
    <w:rsid w:val="00DE76CD"/>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7FF"/>
    <w:rsid w:val="00ED2DE0"/>
    <w:rsid w:val="00ED6645"/>
    <w:rsid w:val="00ED6F4E"/>
    <w:rsid w:val="00EE37EE"/>
    <w:rsid w:val="00EE6EB1"/>
    <w:rsid w:val="00EF43D5"/>
    <w:rsid w:val="00EF4E23"/>
    <w:rsid w:val="00EF691D"/>
    <w:rsid w:val="00F0000C"/>
    <w:rsid w:val="00F002E5"/>
    <w:rsid w:val="00F02632"/>
    <w:rsid w:val="00F03838"/>
    <w:rsid w:val="00F03945"/>
    <w:rsid w:val="00F04C86"/>
    <w:rsid w:val="00F0598E"/>
    <w:rsid w:val="00F11D4E"/>
    <w:rsid w:val="00F12CC8"/>
    <w:rsid w:val="00F20765"/>
    <w:rsid w:val="00F20D44"/>
    <w:rsid w:val="00F22314"/>
    <w:rsid w:val="00F238CE"/>
    <w:rsid w:val="00F24EE1"/>
    <w:rsid w:val="00F2574B"/>
    <w:rsid w:val="00F27831"/>
    <w:rsid w:val="00F35CB9"/>
    <w:rsid w:val="00F36445"/>
    <w:rsid w:val="00F37D41"/>
    <w:rsid w:val="00F412D7"/>
    <w:rsid w:val="00F419B4"/>
    <w:rsid w:val="00F43996"/>
    <w:rsid w:val="00F45427"/>
    <w:rsid w:val="00F45AD5"/>
    <w:rsid w:val="00F45F72"/>
    <w:rsid w:val="00F47184"/>
    <w:rsid w:val="00F47BF2"/>
    <w:rsid w:val="00F51398"/>
    <w:rsid w:val="00F521B6"/>
    <w:rsid w:val="00F53C1F"/>
    <w:rsid w:val="00F53D7D"/>
    <w:rsid w:val="00F54201"/>
    <w:rsid w:val="00F5464F"/>
    <w:rsid w:val="00F63469"/>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2658"/>
    <w:rsid w:val="00FE5F50"/>
    <w:rsid w:val="00FF1B25"/>
    <w:rsid w:val="00FF7A85"/>
    <w:rsid w:val="018B30C2"/>
    <w:rsid w:val="01A73C53"/>
    <w:rsid w:val="03F0214E"/>
    <w:rsid w:val="04314F30"/>
    <w:rsid w:val="043339FE"/>
    <w:rsid w:val="046F214C"/>
    <w:rsid w:val="04782CAB"/>
    <w:rsid w:val="04B40B76"/>
    <w:rsid w:val="06325B44"/>
    <w:rsid w:val="07A16A0E"/>
    <w:rsid w:val="07A959D4"/>
    <w:rsid w:val="0A5A5DC4"/>
    <w:rsid w:val="0AB77A2F"/>
    <w:rsid w:val="0BFD28E4"/>
    <w:rsid w:val="0D0E0F2A"/>
    <w:rsid w:val="0F635DF8"/>
    <w:rsid w:val="104D11A2"/>
    <w:rsid w:val="10881DF6"/>
    <w:rsid w:val="10A10431"/>
    <w:rsid w:val="111D3473"/>
    <w:rsid w:val="1194619F"/>
    <w:rsid w:val="11CB5870"/>
    <w:rsid w:val="12C75791"/>
    <w:rsid w:val="13B61995"/>
    <w:rsid w:val="13BC184F"/>
    <w:rsid w:val="141E7899"/>
    <w:rsid w:val="153C0007"/>
    <w:rsid w:val="15B85A75"/>
    <w:rsid w:val="16120B81"/>
    <w:rsid w:val="165D6CAE"/>
    <w:rsid w:val="16662CE7"/>
    <w:rsid w:val="17E531F7"/>
    <w:rsid w:val="19F55BCD"/>
    <w:rsid w:val="1A0B3DDD"/>
    <w:rsid w:val="1A1B6230"/>
    <w:rsid w:val="1A4901CE"/>
    <w:rsid w:val="1A751B4A"/>
    <w:rsid w:val="1AB8281B"/>
    <w:rsid w:val="1B7457C9"/>
    <w:rsid w:val="1BD73E6F"/>
    <w:rsid w:val="1C382885"/>
    <w:rsid w:val="1E8F7772"/>
    <w:rsid w:val="1F5650D4"/>
    <w:rsid w:val="1F8F6F61"/>
    <w:rsid w:val="203A465C"/>
    <w:rsid w:val="203F2354"/>
    <w:rsid w:val="217C52A6"/>
    <w:rsid w:val="21E302B5"/>
    <w:rsid w:val="23A94E0F"/>
    <w:rsid w:val="24192B24"/>
    <w:rsid w:val="249262B8"/>
    <w:rsid w:val="264137F3"/>
    <w:rsid w:val="26A22A34"/>
    <w:rsid w:val="27C44B4F"/>
    <w:rsid w:val="27EF7598"/>
    <w:rsid w:val="29684A53"/>
    <w:rsid w:val="2A2D00A9"/>
    <w:rsid w:val="2A9C380D"/>
    <w:rsid w:val="2C677D0C"/>
    <w:rsid w:val="2C6C184D"/>
    <w:rsid w:val="2D662499"/>
    <w:rsid w:val="2D7258C6"/>
    <w:rsid w:val="2E343CBB"/>
    <w:rsid w:val="2E495F98"/>
    <w:rsid w:val="2E574E83"/>
    <w:rsid w:val="2E7A1926"/>
    <w:rsid w:val="3227360A"/>
    <w:rsid w:val="357910E0"/>
    <w:rsid w:val="36064819"/>
    <w:rsid w:val="38226957"/>
    <w:rsid w:val="389205E6"/>
    <w:rsid w:val="38B94E67"/>
    <w:rsid w:val="39304916"/>
    <w:rsid w:val="39414633"/>
    <w:rsid w:val="39423DBA"/>
    <w:rsid w:val="39466C4F"/>
    <w:rsid w:val="396A13EA"/>
    <w:rsid w:val="39DD2E67"/>
    <w:rsid w:val="3A8A588E"/>
    <w:rsid w:val="3B026B0F"/>
    <w:rsid w:val="3C1464F1"/>
    <w:rsid w:val="3DCC2998"/>
    <w:rsid w:val="3F5538EE"/>
    <w:rsid w:val="3FEB38BA"/>
    <w:rsid w:val="41134E62"/>
    <w:rsid w:val="4411434F"/>
    <w:rsid w:val="45290A85"/>
    <w:rsid w:val="45F568DE"/>
    <w:rsid w:val="47AB3F3C"/>
    <w:rsid w:val="48480344"/>
    <w:rsid w:val="488A54A4"/>
    <w:rsid w:val="48D662CD"/>
    <w:rsid w:val="4A8A424F"/>
    <w:rsid w:val="4CB67168"/>
    <w:rsid w:val="4CF50E7C"/>
    <w:rsid w:val="4D0910C9"/>
    <w:rsid w:val="4DF224BA"/>
    <w:rsid w:val="4E9E180B"/>
    <w:rsid w:val="4F2953A8"/>
    <w:rsid w:val="4F7B301B"/>
    <w:rsid w:val="508B3BDB"/>
    <w:rsid w:val="50B01A6B"/>
    <w:rsid w:val="51486F2A"/>
    <w:rsid w:val="524F49A3"/>
    <w:rsid w:val="52F4603B"/>
    <w:rsid w:val="5402441A"/>
    <w:rsid w:val="54807131"/>
    <w:rsid w:val="54862CCC"/>
    <w:rsid w:val="560B4044"/>
    <w:rsid w:val="56F77E4E"/>
    <w:rsid w:val="58BD7B39"/>
    <w:rsid w:val="591C41D0"/>
    <w:rsid w:val="593F1337"/>
    <w:rsid w:val="5A3E1245"/>
    <w:rsid w:val="5A5F2402"/>
    <w:rsid w:val="5B6F544B"/>
    <w:rsid w:val="5C930814"/>
    <w:rsid w:val="5DBD597D"/>
    <w:rsid w:val="5E6D1CAE"/>
    <w:rsid w:val="5E8D610B"/>
    <w:rsid w:val="611236F1"/>
    <w:rsid w:val="61467842"/>
    <w:rsid w:val="63441A00"/>
    <w:rsid w:val="646605FE"/>
    <w:rsid w:val="67137888"/>
    <w:rsid w:val="673119ED"/>
    <w:rsid w:val="676E094C"/>
    <w:rsid w:val="67A644C4"/>
    <w:rsid w:val="69614B69"/>
    <w:rsid w:val="69B304BD"/>
    <w:rsid w:val="6A070C95"/>
    <w:rsid w:val="6C514760"/>
    <w:rsid w:val="6CE00556"/>
    <w:rsid w:val="6CE34371"/>
    <w:rsid w:val="7005690A"/>
    <w:rsid w:val="706044C2"/>
    <w:rsid w:val="707217B7"/>
    <w:rsid w:val="70F826C0"/>
    <w:rsid w:val="71EE46F8"/>
    <w:rsid w:val="72063E6D"/>
    <w:rsid w:val="72293730"/>
    <w:rsid w:val="724A4A01"/>
    <w:rsid w:val="72B1259E"/>
    <w:rsid w:val="73116912"/>
    <w:rsid w:val="73954482"/>
    <w:rsid w:val="750573E1"/>
    <w:rsid w:val="750D281F"/>
    <w:rsid w:val="768F4C17"/>
    <w:rsid w:val="785B03CB"/>
    <w:rsid w:val="7A9B3C6D"/>
    <w:rsid w:val="7D4F20E1"/>
    <w:rsid w:val="7D7B6923"/>
    <w:rsid w:val="7D99752A"/>
    <w:rsid w:val="7E203EA8"/>
    <w:rsid w:val="7F024C4D"/>
    <w:rsid w:val="7F7C7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仿宋_GB2312" w:cs="Times New Roman"/>
      <w:color w:val="000000"/>
      <w:sz w:val="32"/>
      <w:szCs w:val="22"/>
      <w:lang w:val="en-US" w:eastAsia="zh-CN" w:bidi="ar-SA"/>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0"/>
    <w:pPr>
      <w:spacing w:before="240" w:after="60"/>
      <w:jc w:val="center"/>
      <w:outlineLvl w:val="0"/>
    </w:pPr>
    <w:rPr>
      <w:rFonts w:ascii="Cambria" w:hAnsi="Cambria"/>
      <w:b/>
      <w:bCs/>
      <w:sz w:val="32"/>
      <w:szCs w:val="32"/>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3">
    <w:name w:val="列出段落1"/>
    <w:basedOn w:val="1"/>
    <w:qFormat/>
    <w:uiPriority w:val="0"/>
    <w:pPr>
      <w:ind w:firstLine="420"/>
    </w:pPr>
    <w:rPr>
      <w:rFonts w:ascii="Calibri" w:hAnsi="Calibri"/>
      <w:szCs w:val="22"/>
    </w:rPr>
  </w:style>
  <w:style w:type="character" w:customStyle="1" w:styleId="14">
    <w:name w:val="标题 Char"/>
    <w:basedOn w:val="10"/>
    <w:link w:val="7"/>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E462-B9EE-4438-8221-A4306E268DA1}">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12</Pages>
  <Words>5124</Words>
  <Characters>5616</Characters>
  <Lines>24</Lines>
  <Paragraphs>6</Paragraphs>
  <TotalTime>35</TotalTime>
  <ScaleCrop>false</ScaleCrop>
  <LinksUpToDate>false</LinksUpToDate>
  <CharactersWithSpaces>5656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2023-03-15T08:10:00Z</dcterms:created>
  <dc:creator>lx</dc:creator>
  <dc:description>ZHGenApp().GetProperty("Certification")</dc:description>
  <cp:lastModifiedBy>Administrator</cp:lastModifiedBy>
  <cp:lastPrinted>2020-02-03T08:13:00Z</cp:lastPrinted>
  <dcterms:modified xsi:type="dcterms:W3CDTF">2023-09-21T09:03:28Z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2B3D0770EA5B47F7904AF084DF116124</vt:lpwstr>
  </property>
</Properties>
</file>