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240" w:lineRule="auto"/>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kern w:val="2"/>
          <w:sz w:val="32"/>
          <w:szCs w:val="24"/>
          <w:lang w:val="en-US" w:eastAsia="zh-CN" w:bidi="ar-SA"/>
        </w:rPr>
        <w:pict>
          <v:line id="_x0000_s1026" o:spid="_x0000_s1026" o:spt="20" style="position:absolute;left:0pt;flip:y;margin-left:4.85pt;margin-top:85.4pt;height:3.3pt;width:410.3pt;z-index:251658240;mso-width-relative:page;mso-height-relative:page;" fillcolor="#FFFFFF" filled="f" o:preferrelative="t" stroked="t" coordsize="21600,21600">
            <v:path arrowok="t"/>
            <v:fill on="f" color2="#FFFFFF" focussize="0,0"/>
            <v:stroke weight="2.25pt" color="#FC0404" color2="#FFFFFF" miterlimit="2"/>
            <v:imagedata gain="65536f" blacklevel="0f" gamma="0" o:title=""/>
            <o:lock v:ext="edit" position="f" selection="f" grouping="f" rotation="f" cropping="f" text="f" aspectratio="f"/>
          </v:line>
        </w:pict>
      </w:r>
      <w:r>
        <w:rPr>
          <w:rFonts w:hint="default" w:ascii="Times New Roman" w:hAnsi="Times New Roman" w:eastAsia="方正小标宋简体" w:cs="Times New Roman"/>
          <w:color w:val="FC0416"/>
          <w:spacing w:val="-28"/>
          <w:sz w:val="96"/>
          <w:szCs w:val="96"/>
        </w:rPr>
        <w:t>昆明市呈贡区财政局</w:t>
      </w: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lang w:eastAsia="zh-CN"/>
        </w:rPr>
      </w:pPr>
      <w:r>
        <w:rPr>
          <w:rFonts w:hint="default" w:ascii="方正小标宋简体" w:hAnsi="方正小标宋简体" w:eastAsia="方正小标宋简体" w:cs="方正小标宋简体"/>
          <w:sz w:val="44"/>
          <w:szCs w:val="44"/>
        </w:rPr>
        <w:t>呈贡区</w:t>
      </w:r>
      <w:r>
        <w:rPr>
          <w:rFonts w:hint="default" w:ascii="方正小标宋简体" w:hAnsi="方正小标宋简体" w:eastAsia="方正小标宋简体" w:cs="方正小标宋简体"/>
          <w:sz w:val="44"/>
          <w:szCs w:val="44"/>
          <w:lang w:val="en-US" w:eastAsia="zh-CN"/>
        </w:rPr>
        <w:t>2022</w:t>
      </w:r>
      <w:r>
        <w:rPr>
          <w:rFonts w:hint="default" w:ascii="方正小标宋简体" w:hAnsi="方正小标宋简体" w:eastAsia="方正小标宋简体" w:cs="方正小标宋简体"/>
          <w:sz w:val="44"/>
          <w:szCs w:val="44"/>
        </w:rPr>
        <w:t>年</w:t>
      </w:r>
      <w:r>
        <w:rPr>
          <w:rFonts w:hint="default" w:ascii="方正小标宋简体" w:hAnsi="方正小标宋简体" w:eastAsia="方正小标宋简体" w:cs="方正小标宋简体"/>
          <w:sz w:val="44"/>
          <w:szCs w:val="44"/>
          <w:lang w:eastAsia="zh-CN"/>
        </w:rPr>
        <w:t>重点</w:t>
      </w:r>
      <w:r>
        <w:rPr>
          <w:rFonts w:hint="default" w:ascii="方正小标宋简体" w:hAnsi="方正小标宋简体" w:eastAsia="方正小标宋简体" w:cs="方正小标宋简体"/>
          <w:sz w:val="44"/>
          <w:szCs w:val="44"/>
        </w:rPr>
        <w:t>支出</w:t>
      </w:r>
      <w:r>
        <w:rPr>
          <w:rFonts w:hint="default" w:ascii="方正小标宋简体" w:hAnsi="方正小标宋简体" w:eastAsia="方正小标宋简体" w:cs="方正小标宋简体"/>
          <w:sz w:val="44"/>
          <w:szCs w:val="44"/>
          <w:lang w:eastAsia="zh-CN"/>
        </w:rPr>
        <w:t>项目</w:t>
      </w:r>
      <w:r>
        <w:rPr>
          <w:rFonts w:hint="default" w:ascii="方正小标宋简体" w:hAnsi="方正小标宋简体" w:eastAsia="方正小标宋简体" w:cs="方正小标宋简体"/>
          <w:sz w:val="44"/>
          <w:szCs w:val="44"/>
          <w:lang w:val="en-US" w:eastAsia="zh-CN"/>
        </w:rPr>
        <w:t>绩效目标重点审核及</w:t>
      </w:r>
      <w:r>
        <w:rPr>
          <w:rFonts w:hint="default" w:ascii="方正小标宋简体" w:hAnsi="方正小标宋简体" w:eastAsia="方正小标宋简体" w:cs="方正小标宋简体"/>
          <w:sz w:val="44"/>
          <w:szCs w:val="44"/>
        </w:rPr>
        <w:t>评估</w:t>
      </w:r>
      <w:r>
        <w:rPr>
          <w:rFonts w:hint="default" w:ascii="方正小标宋简体" w:hAnsi="方正小标宋简体" w:eastAsia="方正小标宋简体" w:cs="方正小标宋简体"/>
          <w:sz w:val="44"/>
          <w:szCs w:val="44"/>
          <w:lang w:eastAsia="zh-CN"/>
        </w:rPr>
        <w:t>说明</w:t>
      </w:r>
    </w:p>
    <w:p>
      <w:pPr>
        <w:rPr>
          <w:rFonts w:hint="default" w:ascii="Times New Roman" w:hAnsi="Times New Roman" w:cs="Times New Roman"/>
        </w:rPr>
      </w:pPr>
    </w:p>
    <w:p>
      <w:pPr>
        <w:widowControl w:val="0"/>
        <w:wordWrap/>
        <w:adjustRightInd/>
        <w:snapToGrid/>
        <w:spacing w:before="0" w:after="0" w:line="560" w:lineRule="exact"/>
        <w:ind w:left="0" w:leftChars="0" w:right="0" w:firstLine="594" w:firstLineChars="200"/>
        <w:textAlignment w:val="auto"/>
        <w:outlineLvl w:val="9"/>
        <w:rPr>
          <w:rFonts w:hint="default" w:ascii="Times New Roman" w:hAnsi="Times New Roman" w:cs="Times New Roman"/>
        </w:rPr>
      </w:pPr>
      <w:r>
        <w:rPr>
          <w:rFonts w:hint="default" w:ascii="Times New Roman" w:hAnsi="Times New Roman" w:cs="Times New Roman"/>
        </w:rPr>
        <w:t>为深化财政预算绩效管理改革，提升预算执行科学化、精细化管理水平，根据《预算法》《关于转发〈昆明市市本级财政支出预算事前绩效评估管理暂行办法〉的通知》</w:t>
      </w:r>
      <w:r>
        <w:rPr>
          <w:rFonts w:hint="default" w:ascii="Times New Roman" w:hAnsi="Times New Roman" w:cs="Times New Roman"/>
          <w:lang w:eastAsia="zh-CN"/>
        </w:rPr>
        <w:t>《</w:t>
      </w:r>
      <w:r>
        <w:rPr>
          <w:rFonts w:hint="default" w:ascii="Times New Roman" w:hAnsi="Times New Roman" w:eastAsia="仿宋_GB2312" w:cs="Times New Roman"/>
        </w:rPr>
        <w:t>昆明市呈贡区</w:t>
      </w:r>
      <w:r>
        <w:rPr>
          <w:rFonts w:hint="default" w:ascii="Times New Roman" w:hAnsi="Times New Roman" w:cs="Times New Roman"/>
          <w:lang w:eastAsia="zh-CN"/>
        </w:rPr>
        <w:t>全面实施预算绩效管理实施细则</w:t>
      </w:r>
      <w:r>
        <w:rPr>
          <w:rFonts w:hint="default" w:ascii="Times New Roman" w:hAnsi="Times New Roman" w:cs="Times New Roman"/>
        </w:rPr>
        <w:t>》等制度要求，参照省、市财政部门现行管理情况，结合我区实际，</w:t>
      </w:r>
      <w:r>
        <w:rPr>
          <w:rFonts w:hint="default" w:ascii="Times New Roman" w:hAnsi="Times New Roman" w:cs="Times New Roman"/>
          <w:lang w:eastAsia="zh-CN"/>
        </w:rPr>
        <w:t>对</w:t>
      </w:r>
      <w:r>
        <w:rPr>
          <w:rFonts w:hint="default" w:ascii="Times New Roman" w:hAnsi="Times New Roman" w:cs="Times New Roman"/>
        </w:rPr>
        <w:t>呈贡区</w:t>
      </w:r>
      <w:r>
        <w:rPr>
          <w:rFonts w:hint="default" w:ascii="Times New Roman" w:hAnsi="Times New Roman" w:cs="Times New Roman"/>
          <w:lang w:val="en-US" w:eastAsia="zh-CN"/>
        </w:rPr>
        <w:t>2022</w:t>
      </w:r>
      <w:r>
        <w:rPr>
          <w:rFonts w:hint="default" w:ascii="Times New Roman" w:hAnsi="Times New Roman" w:cs="Times New Roman"/>
        </w:rPr>
        <w:t>年</w:t>
      </w:r>
      <w:r>
        <w:rPr>
          <w:rFonts w:hint="default" w:ascii="Times New Roman" w:hAnsi="Times New Roman" w:cs="Times New Roman"/>
          <w:lang w:eastAsia="zh-CN"/>
        </w:rPr>
        <w:t>预算支出绩效目标实施</w:t>
      </w:r>
      <w:r>
        <w:rPr>
          <w:rFonts w:hint="default" w:ascii="Times New Roman" w:hAnsi="Times New Roman" w:cs="Times New Roman"/>
        </w:rPr>
        <w:t>事前评估</w:t>
      </w:r>
      <w:r>
        <w:rPr>
          <w:rFonts w:hint="default" w:ascii="Times New Roman" w:hAnsi="Times New Roman" w:cs="Times New Roman"/>
          <w:lang w:eastAsia="zh-CN"/>
        </w:rPr>
        <w:t>。</w:t>
      </w:r>
      <w:r>
        <w:rPr>
          <w:rFonts w:hint="default" w:ascii="Times New Roman" w:hAnsi="Times New Roman" w:cs="Times New Roman"/>
        </w:rPr>
        <w:t>具体内容如下：</w:t>
      </w:r>
    </w:p>
    <w:p>
      <w:pPr>
        <w:ind w:firstLine="594" w:firstLineChars="200"/>
        <w:rPr>
          <w:rFonts w:hint="default" w:ascii="Times New Roman" w:hAnsi="Times New Roman" w:eastAsia="黑体" w:cs="Times New Roman"/>
        </w:rPr>
      </w:pPr>
      <w:r>
        <w:rPr>
          <w:rFonts w:hint="default" w:ascii="Times New Roman" w:hAnsi="Times New Roman" w:eastAsia="黑体" w:cs="Times New Roman"/>
        </w:rPr>
        <w:t>一、</w:t>
      </w:r>
      <w:r>
        <w:rPr>
          <w:rFonts w:hint="default" w:ascii="Times New Roman" w:hAnsi="Times New Roman" w:eastAsia="黑体" w:cs="Times New Roman"/>
          <w:lang w:eastAsia="zh-CN"/>
        </w:rPr>
        <w:t>绩效目标重点审核及</w:t>
      </w:r>
      <w:r>
        <w:rPr>
          <w:rFonts w:hint="default" w:ascii="Times New Roman" w:hAnsi="Times New Roman" w:eastAsia="黑体" w:cs="Times New Roman"/>
        </w:rPr>
        <w:t>评估的对象及内容</w:t>
      </w:r>
    </w:p>
    <w:p>
      <w:pPr>
        <w:numPr>
          <w:ilvl w:val="0"/>
          <w:numId w:val="0"/>
        </w:numPr>
        <w:ind w:firstLine="594" w:firstLineChars="200"/>
        <w:rPr>
          <w:rFonts w:hint="eastAsia" w:ascii="Times New Roman" w:hAnsi="Times New Roman" w:cs="Times New Roman"/>
          <w:sz w:val="32"/>
          <w:lang w:val="en-US" w:eastAsia="zh-CN"/>
        </w:rPr>
      </w:pPr>
      <w:r>
        <w:rPr>
          <w:rFonts w:hint="default" w:ascii="Times New Roman" w:hAnsi="Times New Roman" w:cs="Times New Roman"/>
        </w:rPr>
        <w:t>按照“由点及面、逐步推开”的原则，</w:t>
      </w:r>
      <w:r>
        <w:rPr>
          <w:rFonts w:hint="default" w:ascii="Times New Roman" w:hAnsi="Times New Roman" w:cs="Times New Roman"/>
          <w:lang w:eastAsia="zh-CN"/>
        </w:rPr>
        <w:t>选</w:t>
      </w:r>
      <w:r>
        <w:rPr>
          <w:rFonts w:hint="default" w:ascii="Times New Roman" w:hAnsi="Times New Roman" w:cs="Times New Roman"/>
          <w:sz w:val="32"/>
          <w:lang w:val="en-US" w:eastAsia="zh-CN"/>
        </w:rPr>
        <w:t>取呈贡区退役军人事务局、呈贡区民政局、龙城街道办事处、共青团呈贡区委、呈贡区住建局5家单位2022年预算申报全部项目开展绩效目标重点审核</w:t>
      </w:r>
      <w:r>
        <w:rPr>
          <w:rFonts w:hint="eastAsia" w:ascii="Times New Roman" w:hAnsi="Times New Roman" w:cs="Times New Roman"/>
          <w:sz w:val="32"/>
          <w:lang w:val="en-US" w:eastAsia="zh-CN"/>
        </w:rPr>
        <w:t>。</w:t>
      </w:r>
    </w:p>
    <w:p>
      <w:pPr>
        <w:numPr>
          <w:ilvl w:val="0"/>
          <w:numId w:val="0"/>
        </w:numPr>
        <w:ind w:firstLine="594" w:firstLineChars="200"/>
        <w:rPr>
          <w:rFonts w:hint="default" w:ascii="Times New Roman" w:hAnsi="Times New Roman" w:cs="Times New Roman"/>
          <w:lang w:val="en-US" w:eastAsia="zh-CN"/>
        </w:rPr>
      </w:pPr>
      <w:r>
        <w:rPr>
          <w:rFonts w:hint="default" w:ascii="Times New Roman" w:hAnsi="Times New Roman" w:cs="Times New Roman"/>
          <w:lang w:val="en-US" w:eastAsia="zh-CN"/>
        </w:rPr>
        <w:t>开展绩效目标重点审核工作，重点审核绩效目标的相关性，完整性，适当性，可行性。提出审核意见，反馈被审核单位修改完善绩效目标表，帮助提高绩效目标编制质量。</w:t>
      </w:r>
    </w:p>
    <w:p>
      <w:pPr>
        <w:ind w:firstLine="594" w:firstLineChars="200"/>
        <w:rPr>
          <w:rFonts w:hint="default" w:ascii="Times New Roman" w:hAnsi="Times New Roman" w:cs="Times New Roman"/>
        </w:rPr>
      </w:pPr>
      <w:r>
        <w:rPr>
          <w:rFonts w:hint="default" w:ascii="Times New Roman" w:hAnsi="Times New Roman" w:cs="Times New Roman"/>
        </w:rPr>
        <w:t>事前绩效评估的对象</w:t>
      </w:r>
      <w:r>
        <w:rPr>
          <w:rFonts w:hint="default" w:ascii="Times New Roman" w:hAnsi="Times New Roman" w:cs="Times New Roman"/>
          <w:lang w:eastAsia="zh-CN"/>
        </w:rPr>
        <w:t>是在绩效目标审核的基础上选取重点</w:t>
      </w:r>
      <w:r>
        <w:rPr>
          <w:rFonts w:hint="default" w:ascii="Times New Roman" w:hAnsi="Times New Roman" w:cs="Times New Roman"/>
        </w:rPr>
        <w:t>专项政策、项目及转移支付。侧重于民生保障、公共服务、生态保护、城建、转型发展等社会关注度高、具有明显社会、经济或生态影响的</w:t>
      </w:r>
      <w:r>
        <w:rPr>
          <w:rFonts w:hint="default" w:ascii="Times New Roman" w:hAnsi="Times New Roman" w:cs="Times New Roman"/>
          <w:lang w:eastAsia="zh-CN"/>
        </w:rPr>
        <w:t>支出。</w:t>
      </w:r>
    </w:p>
    <w:p>
      <w:pPr>
        <w:ind w:firstLine="594" w:firstLineChars="200"/>
        <w:rPr>
          <w:rFonts w:hint="default" w:ascii="Times New Roman" w:hAnsi="Times New Roman" w:cs="Times New Roman"/>
        </w:rPr>
      </w:pPr>
      <w:r>
        <w:rPr>
          <w:rFonts w:hint="default" w:ascii="Times New Roman" w:hAnsi="Times New Roman" w:cs="Times New Roman"/>
        </w:rPr>
        <w:t>开展事前绩效评估工作，重点论证项目立项的必要性、投入经济性、绩效目标合理性、实施方案可行性和筹资合规性等，评估结果作为申请预算的必要条件。</w:t>
      </w:r>
    </w:p>
    <w:p>
      <w:pPr>
        <w:numPr>
          <w:ilvl w:val="0"/>
          <w:numId w:val="1"/>
        </w:numPr>
        <w:ind w:firstLine="594" w:firstLineChars="200"/>
        <w:rPr>
          <w:rFonts w:hint="eastAsia" w:ascii="Times New Roman" w:hAnsi="Times New Roman" w:eastAsia="黑体" w:cs="Times New Roman"/>
          <w:lang w:eastAsia="zh-CN"/>
        </w:rPr>
      </w:pPr>
      <w:r>
        <w:rPr>
          <w:rFonts w:hint="default" w:ascii="Times New Roman" w:hAnsi="Times New Roman" w:eastAsia="黑体" w:cs="Times New Roman"/>
          <w:lang w:eastAsia="zh-CN"/>
        </w:rPr>
        <w:t>绩效目标重点审核及</w:t>
      </w:r>
      <w:r>
        <w:rPr>
          <w:rFonts w:hint="default" w:ascii="Times New Roman" w:hAnsi="Times New Roman" w:eastAsia="黑体" w:cs="Times New Roman"/>
        </w:rPr>
        <w:t>评估</w:t>
      </w:r>
      <w:r>
        <w:rPr>
          <w:rFonts w:hint="eastAsia" w:ascii="Times New Roman" w:hAnsi="Times New Roman" w:eastAsia="黑体" w:cs="Times New Roman"/>
          <w:lang w:eastAsia="zh-CN"/>
        </w:rPr>
        <w:t>结果及应用</w:t>
      </w:r>
    </w:p>
    <w:p>
      <w:pPr>
        <w:widowControl w:val="0"/>
        <w:numPr>
          <w:ilvl w:val="0"/>
          <w:numId w:val="0"/>
        </w:numPr>
        <w:wordWrap/>
        <w:adjustRightInd/>
        <w:snapToGrid/>
        <w:spacing w:before="0" w:after="0" w:line="560" w:lineRule="exact"/>
        <w:ind w:right="0"/>
        <w:textAlignment w:val="auto"/>
        <w:outlineLvl w:val="9"/>
        <w:rPr>
          <w:rFonts w:hint="default" w:ascii="Times New Roman" w:hAnsi="Times New Roman" w:cs="Times New Roman"/>
          <w:sz w:val="32"/>
          <w:lang w:val="en-US" w:eastAsia="zh-CN"/>
        </w:rPr>
      </w:pPr>
      <w:r>
        <w:rPr>
          <w:rFonts w:hint="eastAsia" w:ascii="Times New Roman" w:hAnsi="Times New Roman" w:cs="Times New Roman"/>
          <w:sz w:val="32"/>
          <w:lang w:val="en-US" w:eastAsia="zh-CN"/>
        </w:rPr>
        <w:t xml:space="preserve">    </w:t>
      </w:r>
      <w:r>
        <w:rPr>
          <w:rFonts w:hint="eastAsia" w:ascii="Times New Roman" w:hAnsi="Times New Roman" w:cs="Times New Roman"/>
          <w:lang w:val="en-US" w:eastAsia="zh-CN"/>
        </w:rPr>
        <w:t>绩效目标重点审核</w:t>
      </w:r>
      <w:r>
        <w:rPr>
          <w:rFonts w:hint="default" w:ascii="Times New Roman" w:hAnsi="Times New Roman" w:cs="Times New Roman"/>
          <w:lang w:val="en-US" w:eastAsia="zh-CN"/>
        </w:rPr>
        <w:t>合计项目96个，</w:t>
      </w:r>
      <w:r>
        <w:rPr>
          <w:rFonts w:hint="default" w:ascii="Times New Roman" w:hAnsi="Times New Roman" w:cs="Times New Roman"/>
          <w:lang w:val="en-US" w:eastAsia="zh-CN"/>
        </w:rPr>
        <w:t>资金16311.17</w:t>
      </w:r>
      <w:r>
        <w:rPr>
          <w:rFonts w:hint="default" w:ascii="Times New Roman" w:hAnsi="Times New Roman" w:cs="Times New Roman"/>
          <w:lang w:val="zh-CN" w:eastAsia="zh-CN"/>
        </w:rPr>
        <w:t>万元</w:t>
      </w:r>
      <w:r>
        <w:rPr>
          <w:rFonts w:hint="eastAsia" w:ascii="Times New Roman" w:hAnsi="Times New Roman" w:cs="Times New Roman"/>
          <w:lang w:val="zh-CN" w:eastAsia="zh-CN"/>
        </w:rPr>
        <w:t>。</w:t>
      </w:r>
      <w:r>
        <w:rPr>
          <w:rFonts w:hint="eastAsia" w:ascii="Times New Roman" w:hAnsi="Times New Roman" w:cs="Times New Roman"/>
          <w:lang w:val="en-US" w:eastAsia="zh-CN"/>
        </w:rPr>
        <w:t>在此工作基础上，开展绩效评估工作，评估项目20个，</w:t>
      </w:r>
      <w:r>
        <w:rPr>
          <w:rFonts w:hint="default" w:ascii="Times New Roman" w:hAnsi="Times New Roman" w:cs="Times New Roman"/>
          <w:lang w:val="en-US" w:eastAsia="zh-CN"/>
        </w:rPr>
        <w:t>资金</w:t>
      </w:r>
      <w:r>
        <w:rPr>
          <w:rFonts w:hint="eastAsia" w:ascii="Times New Roman" w:hAnsi="Times New Roman" w:cs="Times New Roman"/>
          <w:lang w:val="en-US" w:eastAsia="zh-CN"/>
        </w:rPr>
        <w:t>7201.43万元</w:t>
      </w:r>
      <w:r>
        <w:rPr>
          <w:rFonts w:hint="default" w:ascii="Times New Roman" w:hAnsi="Times New Roman" w:cs="Times New Roman"/>
          <w:lang w:val="en-US" w:eastAsia="zh-CN"/>
        </w:rPr>
        <w:t>，评估和解资金</w:t>
      </w:r>
      <w:r>
        <w:rPr>
          <w:rFonts w:hint="eastAsia" w:ascii="Times New Roman" w:hAnsi="Times New Roman" w:cs="Times New Roman"/>
          <w:lang w:val="en-US" w:eastAsia="zh-CN"/>
        </w:rPr>
        <w:t>1023.53万</w:t>
      </w:r>
      <w:r>
        <w:rPr>
          <w:rFonts w:hint="default" w:ascii="Times New Roman" w:hAnsi="Times New Roman" w:cs="Times New Roman"/>
          <w:lang w:val="en-US" w:eastAsia="zh-CN"/>
        </w:rPr>
        <w:t>元，和解率</w:t>
      </w:r>
      <w:r>
        <w:rPr>
          <w:rFonts w:hint="eastAsia" w:ascii="Times New Roman" w:hAnsi="Times New Roman" w:cs="Times New Roman"/>
          <w:lang w:val="en-US" w:eastAsia="zh-CN"/>
        </w:rPr>
        <w:t>10.83</w:t>
      </w:r>
      <w:r>
        <w:rPr>
          <w:rFonts w:hint="default" w:ascii="Times New Roman" w:hAnsi="Times New Roman" w:cs="Times New Roman"/>
          <w:lang w:val="en-US" w:eastAsia="zh-CN"/>
        </w:rPr>
        <w:t>%</w:t>
      </w:r>
      <w:r>
        <w:rPr>
          <w:rFonts w:hint="eastAsia" w:ascii="Times New Roman" w:hAnsi="Times New Roman" w:cs="Times New Roman"/>
          <w:lang w:val="en-US" w:eastAsia="zh-CN"/>
        </w:rPr>
        <w:t>。</w:t>
      </w:r>
    </w:p>
    <w:p>
      <w:pPr>
        <w:widowControl w:val="0"/>
        <w:numPr>
          <w:ilvl w:val="0"/>
          <w:numId w:val="2"/>
        </w:numPr>
        <w:wordWrap/>
        <w:adjustRightInd/>
        <w:snapToGrid/>
        <w:spacing w:before="0" w:after="0" w:line="560" w:lineRule="exact"/>
        <w:ind w:right="0" w:firstLine="594" w:firstLineChars="200"/>
        <w:textAlignment w:val="auto"/>
        <w:outlineLvl w:val="9"/>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主要经验做法及下一步工作计划</w:t>
      </w:r>
    </w:p>
    <w:p>
      <w:pPr>
        <w:widowControl w:val="0"/>
        <w:numPr>
          <w:ilvl w:val="0"/>
          <w:numId w:val="0"/>
        </w:numPr>
        <w:wordWrap/>
        <w:adjustRightInd/>
        <w:snapToGrid/>
        <w:spacing w:before="0" w:after="0" w:line="560" w:lineRule="exact"/>
        <w:ind w:right="0" w:firstLine="594" w:firstLineChars="200"/>
        <w:textAlignment w:val="auto"/>
        <w:outlineLvl w:val="9"/>
        <w:rPr>
          <w:rFonts w:hint="eastAsia" w:ascii="Times New Roman" w:hAnsi="Times New Roman" w:cs="Times New Roman"/>
          <w:sz w:val="32"/>
          <w:lang w:val="en-US" w:eastAsia="zh-CN"/>
        </w:rPr>
      </w:pPr>
      <w:r>
        <w:rPr>
          <w:rFonts w:hint="eastAsia" w:ascii="Times New Roman" w:hAnsi="Times New Roman" w:cs="Times New Roman"/>
          <w:sz w:val="32"/>
          <w:lang w:val="en-US" w:eastAsia="zh-CN"/>
        </w:rPr>
        <w:t>考虑绩效目标重点审核与绩效事前评估工作存在一定的重复性和共性，均</w:t>
      </w:r>
      <w:bookmarkStart w:id="0" w:name="_GoBack"/>
      <w:bookmarkEnd w:id="0"/>
      <w:r>
        <w:rPr>
          <w:rFonts w:hint="eastAsia" w:ascii="Times New Roman" w:hAnsi="Times New Roman" w:cs="Times New Roman"/>
          <w:sz w:val="32"/>
          <w:lang w:val="en-US" w:eastAsia="zh-CN"/>
        </w:rPr>
        <w:t>有规范预算编制、提高预算和绩效目标编制质量的主要目的，将两项工作相结合既能保证绩效管理工作推开面、推开量不变，同时提高绩效事前评估工作质量。</w:t>
      </w:r>
    </w:p>
    <w:p>
      <w:pPr>
        <w:widowControl w:val="0"/>
        <w:numPr>
          <w:ilvl w:val="0"/>
          <w:numId w:val="0"/>
        </w:numPr>
        <w:wordWrap/>
        <w:adjustRightInd/>
        <w:snapToGrid/>
        <w:spacing w:before="0" w:after="0" w:line="560" w:lineRule="exact"/>
        <w:ind w:right="0" w:firstLine="594" w:firstLineChars="200"/>
        <w:textAlignment w:val="auto"/>
        <w:outlineLvl w:val="9"/>
        <w:rPr>
          <w:rFonts w:hint="eastAsia" w:ascii="Times New Roman" w:hAnsi="Times New Roman" w:cs="Times New Roman"/>
          <w:sz w:val="32"/>
          <w:lang w:val="en-US" w:eastAsia="zh-CN"/>
        </w:rPr>
      </w:pPr>
      <w:r>
        <w:rPr>
          <w:rFonts w:hint="eastAsia" w:ascii="Times New Roman" w:hAnsi="Times New Roman" w:cs="Times New Roman"/>
          <w:sz w:val="32"/>
          <w:lang w:val="en-US" w:eastAsia="zh-CN"/>
        </w:rPr>
        <w:t>后续绩效评估工作将建立健全事前绩效评估与预算编审联动机制，继续拓展工作宽度及工作重点，运用好中介机构库及专家库协同评估机制，同时做好分析论证，更好的发挥绩效评估在预算决策环节的应用。</w:t>
      </w:r>
    </w:p>
    <w:p>
      <w:pPr>
        <w:widowControl w:val="0"/>
        <w:numPr>
          <w:ilvl w:val="0"/>
          <w:numId w:val="0"/>
        </w:numPr>
        <w:wordWrap/>
        <w:adjustRightInd/>
        <w:snapToGrid/>
        <w:spacing w:before="0" w:after="0" w:line="560" w:lineRule="exact"/>
        <w:ind w:right="0" w:firstLine="594" w:firstLineChars="200"/>
        <w:textAlignment w:val="auto"/>
        <w:outlineLvl w:val="9"/>
        <w:rPr>
          <w:rFonts w:hint="default" w:ascii="Times New Roman" w:hAnsi="Times New Roman" w:cs="Times New Roman"/>
          <w:sz w:val="32"/>
          <w:lang w:val="zh-CN" w:eastAsia="zh-CN"/>
        </w:rPr>
      </w:pPr>
    </w:p>
    <w:p>
      <w:pPr>
        <w:jc w:val="both"/>
        <w:rPr>
          <w:rFonts w:hint="default" w:ascii="Times New Roman" w:hAnsi="Times New Roman" w:cs="Times New Roman"/>
          <w:lang w:val="en-US" w:eastAsia="zh-CN"/>
        </w:rPr>
      </w:pPr>
    </w:p>
    <w:p>
      <w:pPr>
        <w:jc w:val="right"/>
        <w:rPr>
          <w:rFonts w:hint="default" w:ascii="Times New Roman" w:hAnsi="Times New Roman" w:cs="Times New Roman"/>
        </w:rPr>
      </w:pPr>
      <w:r>
        <w:rPr>
          <w:rFonts w:hint="default" w:ascii="Times New Roman" w:hAnsi="Times New Roman" w:cs="Times New Roman"/>
          <w:lang w:val="en-US" w:eastAsia="zh-CN"/>
        </w:rPr>
        <w:t>202</w:t>
      </w:r>
      <w:r>
        <w:rPr>
          <w:rFonts w:hint="eastAsia" w:ascii="Times New Roman" w:hAnsi="Times New Roman" w:cs="Times New Roman"/>
          <w:lang w:val="en-US" w:eastAsia="zh-CN"/>
        </w:rPr>
        <w:t>2</w:t>
      </w:r>
      <w:r>
        <w:rPr>
          <w:rFonts w:hint="default" w:ascii="Times New Roman" w:hAnsi="Times New Roman" w:cs="Times New Roman"/>
        </w:rPr>
        <w:t>年</w:t>
      </w:r>
      <w:r>
        <w:rPr>
          <w:rFonts w:hint="eastAsia" w:ascii="Times New Roman" w:hAnsi="Times New Roman" w:cs="Times New Roman"/>
          <w:lang w:val="en-US" w:eastAsia="zh-CN"/>
        </w:rPr>
        <w:t>1</w:t>
      </w:r>
      <w:r>
        <w:rPr>
          <w:rFonts w:hint="default" w:ascii="Times New Roman" w:hAnsi="Times New Roman" w:cs="Times New Roman"/>
        </w:rPr>
        <w:t>月</w:t>
      </w:r>
      <w:r>
        <w:rPr>
          <w:rFonts w:hint="eastAsia" w:ascii="Times New Roman" w:hAnsi="Times New Roman" w:cs="Times New Roman"/>
          <w:lang w:val="en-US" w:eastAsia="zh-CN"/>
        </w:rPr>
        <w:t>24</w:t>
      </w:r>
      <w:r>
        <w:rPr>
          <w:rFonts w:hint="default" w:ascii="Times New Roman" w:hAnsi="Times New Roman" w:cs="Times New Roman"/>
        </w:rPr>
        <w:t>日</w:t>
      </w:r>
    </w:p>
    <w:sectPr>
      <w:footerReference r:id="rId3" w:type="default"/>
      <w:pgSz w:w="11906" w:h="16838"/>
      <w:pgMar w:top="1440" w:right="1800" w:bottom="1440" w:left="1800" w:header="851" w:footer="992" w:gutter="0"/>
      <w:cols w:space="720" w:num="1"/>
      <w:docGrid w:type="linesAndChars" w:linePitch="634"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E5AEB"/>
    <w:multiLevelType w:val="singleLevel"/>
    <w:tmpl w:val="61EE5AEB"/>
    <w:lvl w:ilvl="0" w:tentative="0">
      <w:start w:val="2"/>
      <w:numFmt w:val="chineseCounting"/>
      <w:suff w:val="nothing"/>
      <w:lvlText w:val="%1、"/>
      <w:lvlJc w:val="left"/>
    </w:lvl>
  </w:abstractNum>
  <w:abstractNum w:abstractNumId="1">
    <w:nsid w:val="61EE5D13"/>
    <w:multiLevelType w:val="singleLevel"/>
    <w:tmpl w:val="61EE5D13"/>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48"/>
  <w:drawingGridVerticalSpacing w:val="31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AD55582"/>
    <w:rsid w:val="6AF852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黑体"/>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眉 Char"/>
    <w:basedOn w:val="5"/>
    <w:link w:val="3"/>
    <w:qFormat/>
    <w:uiPriority w:val="0"/>
    <w:rPr>
      <w:rFonts w:ascii="Calibri" w:hAnsi="Calibri" w:eastAsia="仿宋_GB2312" w:cs="黑体"/>
      <w:kern w:val="2"/>
      <w:sz w:val="18"/>
      <w:szCs w:val="18"/>
    </w:rPr>
  </w:style>
  <w:style w:type="character" w:customStyle="1" w:styleId="8">
    <w:name w:val="页脚 Char"/>
    <w:basedOn w:val="5"/>
    <w:link w:val="2"/>
    <w:qFormat/>
    <w:uiPriority w:val="99"/>
    <w:rPr>
      <w:rFonts w:ascii="Calibri" w:hAnsi="Calibri" w:eastAsia="仿宋_GB2312"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1166</Words>
  <Characters>1206</Characters>
  <Lines>8</Lines>
  <Paragraphs>2</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cjl</dc:creator>
  <cp:lastModifiedBy>pc01</cp:lastModifiedBy>
  <cp:lastPrinted>2018-10-30T04:10:00Z</cp:lastPrinted>
  <dcterms:modified xsi:type="dcterms:W3CDTF">2022-01-25T06:54:18Z</dcterms:modified>
  <dc:title>昆明市呈贡区财政局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