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Theme="majorEastAsia" w:hAnsiTheme="majorEastAsia" w:eastAsiaTheme="majorEastAsia"/>
          <w:color w:val="auto"/>
          <w:sz w:val="44"/>
          <w:szCs w:val="44"/>
          <w:highlight w:val="none"/>
          <w:lang w:eastAsia="zh-CN"/>
        </w:rPr>
      </w:pPr>
      <w:r>
        <w:rPr>
          <w:rFonts w:hint="eastAsia" w:asciiTheme="majorEastAsia" w:hAnsiTheme="majorEastAsia" w:eastAsiaTheme="majorEastAsia"/>
          <w:color w:val="auto"/>
          <w:sz w:val="44"/>
          <w:szCs w:val="44"/>
          <w:highlight w:val="none"/>
          <w:lang w:eastAsia="zh-CN"/>
        </w:rPr>
        <w:t>呈贡区劳动就业服务局</w:t>
      </w:r>
      <w:r>
        <w:rPr>
          <w:rFonts w:hint="eastAsia" w:asciiTheme="majorEastAsia" w:hAnsiTheme="majorEastAsia" w:eastAsiaTheme="majorEastAsia"/>
          <w:color w:val="auto"/>
          <w:sz w:val="44"/>
          <w:szCs w:val="44"/>
          <w:highlight w:val="none"/>
        </w:rPr>
        <w:t>关于创业担保贷款入户调查及后续回访工作购买服务</w:t>
      </w:r>
      <w:r>
        <w:rPr>
          <w:rFonts w:hint="eastAsia" w:asciiTheme="majorEastAsia" w:hAnsiTheme="majorEastAsia" w:eastAsiaTheme="majorEastAsia"/>
          <w:color w:val="auto"/>
          <w:sz w:val="44"/>
          <w:szCs w:val="44"/>
          <w:highlight w:val="none"/>
          <w:lang w:eastAsia="zh-CN"/>
        </w:rPr>
        <w:t>的公示</w:t>
      </w:r>
    </w:p>
    <w:p>
      <w:pPr>
        <w:rPr>
          <w:rFonts w:ascii="仿宋_GB2312" w:eastAsia="仿宋_GB2312"/>
          <w:color w:val="auto"/>
          <w:sz w:val="32"/>
          <w:szCs w:val="32"/>
          <w:highlight w:val="none"/>
        </w:rPr>
      </w:pPr>
      <w:r>
        <w:rPr>
          <w:rFonts w:hint="eastAsia" w:ascii="仿宋_GB2312" w:eastAsia="仿宋_GB2312"/>
          <w:color w:val="auto"/>
          <w:sz w:val="32"/>
          <w:szCs w:val="32"/>
          <w:highlight w:val="none"/>
        </w:rPr>
        <w:t xml:space="preserve"> </w:t>
      </w:r>
    </w:p>
    <w:p>
      <w:pPr>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sz w:val="32"/>
          <w:szCs w:val="32"/>
          <w:highlight w:val="none"/>
          <w:lang w:eastAsia="zh-CN"/>
        </w:rPr>
        <w:t>经呈贡区创业担保贷款联席工作会议（</w:t>
      </w:r>
      <w:r>
        <w:rPr>
          <w:rFonts w:hint="eastAsia" w:ascii="仿宋_GB2312" w:eastAsia="仿宋_GB2312"/>
          <w:sz w:val="32"/>
          <w:szCs w:val="32"/>
          <w:highlight w:val="none"/>
          <w:lang w:val="en-US" w:eastAsia="zh-CN"/>
        </w:rPr>
        <w:t>2021年第一期</w:t>
      </w: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研究决定，</w:t>
      </w:r>
      <w:r>
        <w:rPr>
          <w:rFonts w:hint="eastAsia" w:ascii="仿宋_GB2312" w:eastAsia="仿宋_GB2312"/>
          <w:sz w:val="32"/>
          <w:szCs w:val="32"/>
          <w:highlight w:val="none"/>
        </w:rPr>
        <w:t>呈贡区</w:t>
      </w:r>
      <w:r>
        <w:rPr>
          <w:rFonts w:hint="eastAsia" w:ascii="仿宋_GB2312" w:eastAsia="仿宋_GB2312"/>
          <w:sz w:val="32"/>
          <w:szCs w:val="32"/>
          <w:highlight w:val="none"/>
          <w:lang w:eastAsia="zh-CN"/>
        </w:rPr>
        <w:t>劳动就业服务</w:t>
      </w:r>
      <w:r>
        <w:rPr>
          <w:rFonts w:hint="eastAsia" w:ascii="仿宋_GB2312" w:eastAsia="仿宋_GB2312"/>
          <w:sz w:val="32"/>
          <w:szCs w:val="32"/>
          <w:highlight w:val="none"/>
        </w:rPr>
        <w:t>局通过政府购买服务方式，</w:t>
      </w:r>
      <w:r>
        <w:rPr>
          <w:rFonts w:hint="eastAsia" w:ascii="仿宋_GB2312" w:eastAsia="仿宋_GB2312"/>
          <w:sz w:val="32"/>
          <w:szCs w:val="32"/>
          <w:highlight w:val="none"/>
          <w:lang w:eastAsia="zh-CN"/>
        </w:rPr>
        <w:t>委托第三方公司</w:t>
      </w:r>
      <w:r>
        <w:rPr>
          <w:rFonts w:hint="eastAsia" w:ascii="仿宋_GB2312" w:eastAsia="仿宋_GB2312"/>
          <w:color w:val="auto"/>
          <w:sz w:val="32"/>
          <w:szCs w:val="32"/>
          <w:highlight w:val="none"/>
        </w:rPr>
        <w:t>对</w:t>
      </w:r>
      <w:r>
        <w:rPr>
          <w:rFonts w:hint="eastAsia" w:ascii="仿宋_GB2312" w:eastAsia="仿宋_GB2312"/>
          <w:color w:val="auto"/>
          <w:sz w:val="32"/>
          <w:szCs w:val="32"/>
          <w:highlight w:val="none"/>
          <w:lang w:val="en-US" w:eastAsia="zh-CN"/>
        </w:rPr>
        <w:t>2018年—2020年</w:t>
      </w:r>
      <w:r>
        <w:rPr>
          <w:rFonts w:hint="eastAsia" w:ascii="仿宋_GB2312" w:eastAsia="仿宋_GB2312"/>
          <w:color w:val="auto"/>
          <w:sz w:val="32"/>
          <w:szCs w:val="32"/>
          <w:highlight w:val="none"/>
          <w:lang w:eastAsia="zh-CN"/>
        </w:rPr>
        <w:t>创业担保贷款开展入户调查及后续回访，</w:t>
      </w:r>
      <w:r>
        <w:rPr>
          <w:rFonts w:hint="eastAsia" w:ascii="仿宋_GB2312" w:eastAsia="仿宋_GB2312"/>
          <w:sz w:val="32"/>
          <w:szCs w:val="32"/>
          <w:highlight w:val="none"/>
          <w:lang w:val="en-US" w:eastAsia="zh-CN"/>
        </w:rPr>
        <w:t>现将有关事项公示如下：</w:t>
      </w:r>
      <w:r>
        <w:rPr>
          <w:rFonts w:hint="eastAsia" w:ascii="仿宋_GB2312" w:eastAsia="仿宋_GB2312"/>
          <w:color w:val="auto"/>
          <w:sz w:val="32"/>
          <w:szCs w:val="32"/>
          <w:highlight w:val="none"/>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黑体" w:cs="仿宋"/>
          <w:sz w:val="32"/>
          <w:szCs w:val="32"/>
          <w:highlight w:val="none"/>
          <w:lang w:eastAsia="zh-CN"/>
        </w:rPr>
      </w:pPr>
      <w:r>
        <w:rPr>
          <w:rFonts w:hint="eastAsia" w:ascii="黑体" w:hAnsi="黑体" w:eastAsia="黑体"/>
          <w:sz w:val="32"/>
          <w:szCs w:val="32"/>
          <w:highlight w:val="none"/>
          <w:lang w:eastAsia="zh-CN"/>
        </w:rPr>
        <w:t>一、</w:t>
      </w:r>
      <w:r>
        <w:rPr>
          <w:rFonts w:hint="eastAsia" w:ascii="黑体" w:hAnsi="黑体" w:eastAsia="黑体"/>
          <w:sz w:val="32"/>
          <w:szCs w:val="32"/>
          <w:highlight w:val="none"/>
        </w:rPr>
        <w:t>单位性质：</w:t>
      </w:r>
      <w:r>
        <w:rPr>
          <w:rFonts w:hint="eastAsia" w:ascii="仿宋" w:hAnsi="仿宋" w:eastAsia="仿宋" w:cs="仿宋"/>
          <w:sz w:val="32"/>
          <w:szCs w:val="32"/>
          <w:highlight w:val="none"/>
          <w:lang w:eastAsia="zh-CN"/>
        </w:rPr>
        <w:t>参照公务员管理单位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highlight w:val="none"/>
          <w:lang w:eastAsia="zh-CN"/>
        </w:rPr>
      </w:pPr>
      <w:r>
        <w:rPr>
          <w:rFonts w:hint="eastAsia" w:ascii="黑体" w:hAnsi="黑体" w:eastAsia="黑体"/>
          <w:sz w:val="32"/>
          <w:szCs w:val="32"/>
          <w:highlight w:val="none"/>
          <w:lang w:eastAsia="zh-CN"/>
        </w:rPr>
        <w:t>二、委托单位：</w:t>
      </w:r>
    </w:p>
    <w:tbl>
      <w:tblPr>
        <w:tblStyle w:val="2"/>
        <w:tblW w:w="830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415"/>
        <w:gridCol w:w="1663"/>
        <w:gridCol w:w="858"/>
        <w:gridCol w:w="1500"/>
        <w:gridCol w:w="1425"/>
        <w:gridCol w:w="14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59" w:hRule="atLeast"/>
        </w:trPr>
        <w:tc>
          <w:tcPr>
            <w:tcW w:w="1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i w:val="0"/>
                <w:color w:val="000000"/>
                <w:sz w:val="20"/>
                <w:szCs w:val="20"/>
                <w:u w:val="none"/>
              </w:rPr>
            </w:pPr>
            <w:r>
              <w:rPr>
                <w:rFonts w:hint="eastAsia" w:ascii="宋体" w:hAnsi="宋体" w:eastAsia="宋体" w:cs="宋体"/>
                <w:b/>
                <w:bCs/>
                <w:i w:val="0"/>
                <w:color w:val="000000"/>
                <w:kern w:val="0"/>
                <w:sz w:val="20"/>
                <w:szCs w:val="20"/>
                <w:u w:val="none"/>
                <w:lang w:val="en-US" w:eastAsia="zh-CN" w:bidi="ar"/>
              </w:rPr>
              <w:t>委托单位</w:t>
            </w:r>
          </w:p>
        </w:tc>
        <w:tc>
          <w:tcPr>
            <w:tcW w:w="16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i w:val="0"/>
                <w:color w:val="000000"/>
                <w:sz w:val="20"/>
                <w:szCs w:val="20"/>
                <w:u w:val="none"/>
              </w:rPr>
            </w:pPr>
            <w:r>
              <w:rPr>
                <w:rFonts w:hint="eastAsia" w:ascii="宋体" w:hAnsi="宋体" w:eastAsia="宋体" w:cs="宋体"/>
                <w:b/>
                <w:bCs/>
                <w:i w:val="0"/>
                <w:color w:val="000000"/>
                <w:kern w:val="0"/>
                <w:sz w:val="20"/>
                <w:szCs w:val="20"/>
                <w:u w:val="none"/>
                <w:lang w:val="en-US" w:eastAsia="zh-CN" w:bidi="ar"/>
              </w:rPr>
              <w:t>营业执照编号</w:t>
            </w:r>
          </w:p>
        </w:tc>
        <w:tc>
          <w:tcPr>
            <w:tcW w:w="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i w:val="0"/>
                <w:color w:val="000000"/>
                <w:sz w:val="20"/>
                <w:szCs w:val="20"/>
                <w:u w:val="none"/>
              </w:rPr>
            </w:pPr>
            <w:r>
              <w:rPr>
                <w:rFonts w:hint="eastAsia" w:ascii="宋体" w:hAnsi="宋体" w:eastAsia="宋体" w:cs="宋体"/>
                <w:b/>
                <w:bCs/>
                <w:i w:val="0"/>
                <w:color w:val="000000"/>
                <w:kern w:val="0"/>
                <w:sz w:val="20"/>
                <w:szCs w:val="20"/>
                <w:u w:val="none"/>
                <w:lang w:val="en-US" w:eastAsia="zh-CN" w:bidi="ar"/>
              </w:rPr>
              <w:t>法定代表人</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i w:val="0"/>
                <w:color w:val="000000"/>
                <w:sz w:val="20"/>
                <w:szCs w:val="20"/>
                <w:u w:val="none"/>
              </w:rPr>
            </w:pPr>
            <w:r>
              <w:rPr>
                <w:rFonts w:hint="eastAsia" w:ascii="宋体" w:hAnsi="宋体" w:eastAsia="宋体" w:cs="宋体"/>
                <w:b/>
                <w:bCs/>
                <w:i w:val="0"/>
                <w:color w:val="000000"/>
                <w:kern w:val="0"/>
                <w:sz w:val="20"/>
                <w:szCs w:val="20"/>
                <w:u w:val="none"/>
                <w:lang w:val="en-US" w:eastAsia="zh-CN" w:bidi="ar"/>
              </w:rPr>
              <w:t>联系电话</w:t>
            </w:r>
          </w:p>
        </w:tc>
        <w:tc>
          <w:tcPr>
            <w:tcW w:w="14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i w:val="0"/>
                <w:color w:val="000000"/>
                <w:sz w:val="20"/>
                <w:szCs w:val="20"/>
                <w:u w:val="none"/>
              </w:rPr>
            </w:pPr>
            <w:r>
              <w:rPr>
                <w:rFonts w:hint="eastAsia" w:ascii="宋体" w:hAnsi="宋体" w:eastAsia="宋体" w:cs="宋体"/>
                <w:b/>
                <w:bCs/>
                <w:i w:val="0"/>
                <w:color w:val="000000"/>
                <w:kern w:val="0"/>
                <w:sz w:val="20"/>
                <w:szCs w:val="20"/>
                <w:u w:val="none"/>
                <w:lang w:val="en-US" w:eastAsia="zh-CN" w:bidi="ar"/>
              </w:rPr>
              <w:t>工作地址</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i w:val="0"/>
                <w:color w:val="000000"/>
                <w:sz w:val="20"/>
                <w:szCs w:val="20"/>
                <w:u w:val="none"/>
              </w:rPr>
            </w:pPr>
            <w:r>
              <w:rPr>
                <w:rFonts w:hint="eastAsia" w:ascii="宋体" w:hAnsi="宋体" w:eastAsia="宋体" w:cs="宋体"/>
                <w:b/>
                <w:bCs/>
                <w:i w:val="0"/>
                <w:color w:val="000000"/>
                <w:kern w:val="0"/>
                <w:sz w:val="20"/>
                <w:szCs w:val="20"/>
                <w:u w:val="none"/>
                <w:lang w:val="en-US" w:eastAsia="zh-CN" w:bidi="ar"/>
              </w:rPr>
              <w:t>服务期限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61" w:hRule="atLeast"/>
        </w:trPr>
        <w:tc>
          <w:tcPr>
            <w:tcW w:w="1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云南信远劳务派遣有限公司</w:t>
            </w:r>
          </w:p>
        </w:tc>
        <w:tc>
          <w:tcPr>
            <w:tcW w:w="16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530121000133806</w:t>
            </w:r>
          </w:p>
        </w:tc>
        <w:tc>
          <w:tcPr>
            <w:tcW w:w="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李润芳</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0871-67483819</w:t>
            </w:r>
          </w:p>
        </w:tc>
        <w:tc>
          <w:tcPr>
            <w:tcW w:w="14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云南省昆明市呈贡区云上小镇6栋17-20号商铺308室</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sz w:val="18"/>
                <w:szCs w:val="18"/>
                <w:u w:val="none"/>
              </w:rPr>
              <w:t>2021年上半年完成辖区内八个街道（共计61个社区）创业担保贷款第一次摸底调查，2021年</w:t>
            </w:r>
            <w:r>
              <w:rPr>
                <w:rFonts w:hint="eastAsia" w:ascii="仿宋" w:hAnsi="仿宋" w:eastAsia="仿宋" w:cs="仿宋"/>
                <w:i w:val="0"/>
                <w:color w:val="000000"/>
                <w:sz w:val="18"/>
                <w:szCs w:val="18"/>
                <w:u w:val="none"/>
                <w:lang w:eastAsia="zh-CN"/>
              </w:rPr>
              <w:t>下半年</w:t>
            </w:r>
            <w:r>
              <w:rPr>
                <w:rFonts w:hint="eastAsia" w:ascii="仿宋" w:hAnsi="仿宋" w:eastAsia="仿宋" w:cs="仿宋"/>
                <w:i w:val="0"/>
                <w:color w:val="000000"/>
                <w:sz w:val="18"/>
                <w:szCs w:val="18"/>
                <w:u w:val="none"/>
              </w:rPr>
              <w:t>完成辖区内八个街道（共计61个社区）创业担保贷款第二次摸底调查。</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highlight w:val="none"/>
          <w:lang w:eastAsia="zh-CN"/>
        </w:rPr>
      </w:pPr>
      <w:r>
        <w:rPr>
          <w:rFonts w:hint="eastAsia" w:ascii="黑体" w:hAnsi="黑体" w:eastAsia="黑体"/>
          <w:sz w:val="32"/>
          <w:szCs w:val="32"/>
          <w:highlight w:val="none"/>
          <w:lang w:eastAsia="zh-CN"/>
        </w:rPr>
        <w:t>三、</w:t>
      </w:r>
      <w:r>
        <w:rPr>
          <w:rFonts w:hint="eastAsia" w:ascii="黑体" w:hAnsi="黑体" w:eastAsia="黑体"/>
          <w:sz w:val="32"/>
          <w:szCs w:val="32"/>
          <w:highlight w:val="none"/>
        </w:rPr>
        <w:t>工作内容</w:t>
      </w:r>
    </w:p>
    <w:p>
      <w:pPr>
        <w:keepNext w:val="0"/>
        <w:keepLines w:val="0"/>
        <w:pageBreakBefore w:val="0"/>
        <w:numPr>
          <w:ilvl w:val="0"/>
          <w:numId w:val="0"/>
        </w:numPr>
        <w:kinsoku/>
        <w:overflowPunct/>
        <w:topLinePunct w:val="0"/>
        <w:autoSpaceDE/>
        <w:autoSpaceDN/>
        <w:bidi w:val="0"/>
        <w:adjustRightInd/>
        <w:snapToGrid/>
        <w:spacing w:line="60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w:t>
      </w:r>
      <w:r>
        <w:rPr>
          <w:rFonts w:hint="eastAsia" w:ascii="仿宋_GB2312" w:eastAsia="仿宋_GB2312"/>
          <w:sz w:val="32"/>
          <w:szCs w:val="32"/>
          <w:lang w:val="en-US" w:eastAsia="zh-CN"/>
        </w:rPr>
        <w:t>安排派遣的</w:t>
      </w:r>
      <w:r>
        <w:rPr>
          <w:rFonts w:hint="eastAsia" w:ascii="仿宋_GB2312" w:hAnsi="仿宋_GB2312" w:eastAsia="仿宋_GB2312" w:cs="仿宋_GB2312"/>
          <w:sz w:val="32"/>
          <w:szCs w:val="32"/>
          <w:lang w:val="en-US" w:eastAsia="zh-CN"/>
        </w:rPr>
        <w:t>公益性岗位工作人员每月不少于三次到所负责的社区进行创业担保贷款政策的宣传与讲解。定期对已贷款人员进行入户调研，了解贷款人员情况，提供后续服务与日常监管。在对申请创业贷款人员进行贷前入户调查，据实记录情况，为发放审核提供事实依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eastAsia="仿宋_GB2312"/>
          <w:color w:val="auto"/>
          <w:sz w:val="32"/>
          <w:szCs w:val="32"/>
          <w:lang w:val="en-US" w:eastAsia="zh-CN"/>
        </w:rPr>
      </w:pPr>
      <w:r>
        <w:rPr>
          <w:rFonts w:hint="eastAsia" w:ascii="仿宋" w:hAnsi="仿宋" w:eastAsia="仿宋" w:cs="仿宋"/>
          <w:b w:val="0"/>
          <w:bCs w:val="0"/>
          <w:sz w:val="32"/>
          <w:szCs w:val="32"/>
          <w:lang w:val="en-US" w:eastAsia="zh-CN"/>
        </w:rPr>
        <w:t>2.2021年调查</w:t>
      </w:r>
      <w:r>
        <w:rPr>
          <w:rFonts w:hint="eastAsia" w:ascii="仿宋" w:hAnsi="仿宋" w:eastAsia="仿宋" w:cs="仿宋"/>
          <w:color w:val="auto"/>
          <w:sz w:val="32"/>
          <w:szCs w:val="32"/>
          <w:lang w:val="en-US" w:eastAsia="zh-CN"/>
        </w:rPr>
        <w:t>2018年至2020年期间，区就业局、妇联等8家区级单位、机构作为主要创业担保贷款审核单位累计向1266名贷款申请人发放创业担保贷款。贷款主要用于公司、个体工商户、农业创业资金，有效带动就业人数近10000余人。经上半年及下半年两次跟踪回访服务，</w:t>
      </w:r>
      <w:r>
        <w:rPr>
          <w:rFonts w:hint="eastAsia" w:ascii="仿宋" w:hAnsi="仿宋" w:eastAsia="仿宋" w:cs="仿宋"/>
          <w:sz w:val="32"/>
          <w:szCs w:val="32"/>
          <w:lang w:val="en-US" w:eastAsia="zh-CN"/>
        </w:rPr>
        <w:t>其中已经完成还款人数为338人，占比26.70%；正常还款中人数为879人，占比69.43%；变更经营23人，占比1.81%；停止经营24人，占比1.89%；逾期还款2人，占比0.15%；</w:t>
      </w:r>
      <w:r>
        <w:rPr>
          <w:rFonts w:hint="eastAsia" w:ascii="仿宋" w:hAnsi="仿宋" w:eastAsia="仿宋" w:cs="仿宋"/>
          <w:color w:val="auto"/>
          <w:sz w:val="32"/>
          <w:szCs w:val="32"/>
          <w:lang w:val="en-US" w:eastAsia="zh-CN"/>
        </w:rPr>
        <w:t>综上，还贷能力处于良好，各创业贷款人经营状况良好。到期贷款回收率预计达99.68%。创业贷款为助推大众创业、万众创新，促进就业发挥了积极作用。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highlight w:val="none"/>
        </w:rPr>
      </w:pPr>
      <w:r>
        <w:rPr>
          <w:rFonts w:hint="eastAsia" w:ascii="黑体" w:hAnsi="黑体" w:eastAsia="黑体"/>
          <w:sz w:val="32"/>
          <w:szCs w:val="32"/>
          <w:highlight w:val="none"/>
          <w:lang w:eastAsia="zh-CN"/>
        </w:rPr>
        <w:t>四、支出明细</w:t>
      </w:r>
      <w:r>
        <w:rPr>
          <w:rFonts w:hint="eastAsia" w:ascii="黑体" w:hAnsi="黑体" w:eastAsia="黑体"/>
          <w:sz w:val="32"/>
          <w:szCs w:val="32"/>
          <w:highlight w:val="none"/>
        </w:rPr>
        <w:t>及来源：</w:t>
      </w:r>
    </w:p>
    <w:tbl>
      <w:tblPr>
        <w:tblStyle w:val="3"/>
        <w:tblW w:w="9045" w:type="dxa"/>
        <w:tblInd w:w="-2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8"/>
        <w:gridCol w:w="932"/>
        <w:gridCol w:w="870"/>
        <w:gridCol w:w="1769"/>
        <w:gridCol w:w="29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trPr>
        <w:tc>
          <w:tcPr>
            <w:tcW w:w="2488" w:type="dxa"/>
          </w:tcPr>
          <w:p>
            <w:pPr>
              <w:numPr>
                <w:ilvl w:val="0"/>
                <w:numId w:val="0"/>
              </w:numPr>
              <w:spacing w:line="560" w:lineRule="exact"/>
              <w:rPr>
                <w:rFonts w:hint="eastAsia" w:ascii="黑体" w:hAnsi="黑体" w:eastAsia="黑体"/>
                <w:sz w:val="30"/>
                <w:szCs w:val="30"/>
                <w:highlight w:val="none"/>
                <w:vertAlign w:val="baseline"/>
              </w:rPr>
            </w:pPr>
            <w:r>
              <w:rPr>
                <w:sz w:val="32"/>
              </w:rPr>
              <mc:AlternateContent>
                <mc:Choice Requires="wps">
                  <w:drawing>
                    <wp:anchor distT="0" distB="0" distL="114300" distR="114300" simplePos="0" relativeHeight="251659264" behindDoc="0" locked="0" layoutInCell="1" allowOverlap="1">
                      <wp:simplePos x="0" y="0"/>
                      <wp:positionH relativeFrom="column">
                        <wp:posOffset>-43815</wp:posOffset>
                      </wp:positionH>
                      <wp:positionV relativeFrom="paragraph">
                        <wp:posOffset>5715</wp:posOffset>
                      </wp:positionV>
                      <wp:extent cx="1546860" cy="714375"/>
                      <wp:effectExtent l="1905" t="4445" r="13335" b="5080"/>
                      <wp:wrapNone/>
                      <wp:docPr id="1" name="直接连接符 1"/>
                      <wp:cNvGraphicFramePr/>
                      <a:graphic xmlns:a="http://schemas.openxmlformats.org/drawingml/2006/main">
                        <a:graphicData uri="http://schemas.microsoft.com/office/word/2010/wordprocessingShape">
                          <wps:wsp>
                            <wps:cNvCnPr/>
                            <wps:spPr>
                              <a:xfrm>
                                <a:off x="1070610" y="4151630"/>
                                <a:ext cx="1546860" cy="714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45pt;margin-top:0.45pt;height:56.25pt;width:121.8pt;z-index:251659264;mso-width-relative:page;mso-height-relative:page;" filled="f" stroked="t" coordsize="21600,21600" o:gfxdata="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XzUxx1gAAAAcBAAAPAAAAAAAAAAEAIAAAACIAAABkcnMvZG93bnJldi54bWxQSwECFAAU&#10;AAAACACHTuJATtXHNfMBAADCAwAADgAAAAAAAAABACAAAAAlAQAAZHJzL2Uyb0RvYy54bWxQSwUG&#10;AAAAAAYABgBZAQAAigUAAAAA&#10;">
                      <v:fill on="f" focussize="0,0"/>
                      <v:stroke weight="0.5pt" color="#000000 [3200]" miterlimit="8" joinstyle="miter"/>
                      <v:imagedata o:title=""/>
                      <o:lock v:ext="edit" aspectratio="f"/>
                    </v:line>
                  </w:pict>
                </mc:Fallback>
              </mc:AlternateContent>
            </w:r>
          </w:p>
        </w:tc>
        <w:tc>
          <w:tcPr>
            <w:tcW w:w="932" w:type="dxa"/>
            <w:vAlign w:val="center"/>
          </w:tcPr>
          <w:p>
            <w:pPr>
              <w:numPr>
                <w:ilvl w:val="0"/>
                <w:numId w:val="0"/>
              </w:numPr>
              <w:spacing w:line="560" w:lineRule="exact"/>
              <w:jc w:val="left"/>
              <w:rPr>
                <w:rFonts w:hint="eastAsia" w:ascii="仿宋" w:hAnsi="仿宋" w:eastAsia="仿宋" w:cs="仿宋"/>
                <w:b/>
                <w:bCs/>
                <w:sz w:val="30"/>
                <w:szCs w:val="30"/>
                <w:highlight w:val="none"/>
                <w:vertAlign w:val="baseline"/>
                <w:lang w:eastAsia="zh-CN"/>
              </w:rPr>
            </w:pPr>
            <w:r>
              <w:rPr>
                <w:rFonts w:hint="eastAsia" w:ascii="仿宋" w:hAnsi="仿宋" w:eastAsia="仿宋" w:cs="仿宋"/>
                <w:b/>
                <w:bCs/>
                <w:sz w:val="30"/>
                <w:szCs w:val="30"/>
                <w:highlight w:val="none"/>
                <w:vertAlign w:val="baseline"/>
                <w:lang w:eastAsia="zh-CN"/>
              </w:rPr>
              <w:t>单价</w:t>
            </w:r>
          </w:p>
        </w:tc>
        <w:tc>
          <w:tcPr>
            <w:tcW w:w="870" w:type="dxa"/>
            <w:vAlign w:val="center"/>
          </w:tcPr>
          <w:p>
            <w:pPr>
              <w:numPr>
                <w:ilvl w:val="0"/>
                <w:numId w:val="0"/>
              </w:numPr>
              <w:spacing w:line="560" w:lineRule="exact"/>
              <w:ind w:left="321" w:hanging="301" w:hangingChars="100"/>
              <w:jc w:val="center"/>
              <w:rPr>
                <w:rFonts w:hint="eastAsia" w:ascii="仿宋" w:hAnsi="仿宋" w:eastAsia="仿宋" w:cs="仿宋"/>
                <w:b w:val="0"/>
                <w:bCs w:val="0"/>
                <w:sz w:val="21"/>
                <w:szCs w:val="21"/>
                <w:highlight w:val="none"/>
                <w:vertAlign w:val="baseline"/>
                <w:lang w:eastAsia="zh-CN"/>
              </w:rPr>
            </w:pPr>
            <w:r>
              <w:rPr>
                <w:rFonts w:hint="eastAsia" w:ascii="仿宋" w:hAnsi="仿宋" w:eastAsia="仿宋" w:cs="仿宋"/>
                <w:b/>
                <w:bCs/>
                <w:sz w:val="30"/>
                <w:szCs w:val="30"/>
                <w:highlight w:val="none"/>
                <w:vertAlign w:val="baseline"/>
                <w:lang w:eastAsia="zh-CN"/>
              </w:rPr>
              <w:t>户数</w:t>
            </w:r>
          </w:p>
        </w:tc>
        <w:tc>
          <w:tcPr>
            <w:tcW w:w="1769" w:type="dxa"/>
            <w:vAlign w:val="center"/>
          </w:tcPr>
          <w:p>
            <w:pPr>
              <w:numPr>
                <w:ilvl w:val="0"/>
                <w:numId w:val="0"/>
              </w:numPr>
              <w:spacing w:line="560" w:lineRule="exact"/>
              <w:ind w:left="321" w:hanging="301" w:hangingChars="100"/>
              <w:jc w:val="center"/>
              <w:rPr>
                <w:rFonts w:hint="eastAsia" w:ascii="仿宋" w:hAnsi="仿宋" w:eastAsia="仿宋" w:cs="仿宋"/>
                <w:b/>
                <w:bCs/>
                <w:sz w:val="30"/>
                <w:szCs w:val="30"/>
                <w:highlight w:val="none"/>
                <w:vertAlign w:val="baseline"/>
                <w:lang w:eastAsia="zh-CN"/>
              </w:rPr>
            </w:pPr>
            <w:r>
              <w:rPr>
                <w:rFonts w:hint="eastAsia" w:ascii="仿宋" w:hAnsi="仿宋" w:eastAsia="仿宋" w:cs="仿宋"/>
                <w:b/>
                <w:bCs/>
                <w:sz w:val="30"/>
                <w:szCs w:val="30"/>
                <w:highlight w:val="none"/>
                <w:vertAlign w:val="baseline"/>
                <w:lang w:eastAsia="zh-CN"/>
              </w:rPr>
              <w:t>支出金额</w:t>
            </w:r>
          </w:p>
          <w:p>
            <w:pPr>
              <w:numPr>
                <w:ilvl w:val="0"/>
                <w:numId w:val="0"/>
              </w:numPr>
              <w:spacing w:line="560" w:lineRule="exact"/>
              <w:ind w:left="321" w:hanging="180" w:hangingChars="100"/>
              <w:jc w:val="center"/>
              <w:rPr>
                <w:rFonts w:hint="eastAsia" w:ascii="仿宋" w:hAnsi="仿宋" w:eastAsia="仿宋" w:cs="仿宋"/>
                <w:b w:val="0"/>
                <w:bCs w:val="0"/>
                <w:sz w:val="21"/>
                <w:szCs w:val="21"/>
                <w:highlight w:val="none"/>
                <w:vertAlign w:val="baseline"/>
                <w:lang w:eastAsia="zh-CN"/>
              </w:rPr>
            </w:pPr>
            <w:r>
              <w:rPr>
                <w:rFonts w:hint="eastAsia" w:ascii="仿宋" w:hAnsi="仿宋" w:eastAsia="仿宋" w:cs="仿宋"/>
                <w:b w:val="0"/>
                <w:bCs w:val="0"/>
                <w:sz w:val="18"/>
                <w:szCs w:val="18"/>
                <w:highlight w:val="none"/>
                <w:vertAlign w:val="baseline"/>
                <w:lang w:eastAsia="zh-CN"/>
              </w:rPr>
              <w:t>（单位：元）</w:t>
            </w:r>
          </w:p>
        </w:tc>
        <w:tc>
          <w:tcPr>
            <w:tcW w:w="2986" w:type="dxa"/>
            <w:vAlign w:val="center"/>
          </w:tcPr>
          <w:p>
            <w:pPr>
              <w:numPr>
                <w:ilvl w:val="0"/>
                <w:numId w:val="0"/>
              </w:numPr>
              <w:spacing w:line="560" w:lineRule="exact"/>
              <w:jc w:val="center"/>
              <w:rPr>
                <w:rFonts w:hint="eastAsia" w:ascii="仿宋" w:hAnsi="仿宋" w:eastAsia="仿宋" w:cs="仿宋"/>
                <w:b/>
                <w:bCs/>
                <w:sz w:val="30"/>
                <w:szCs w:val="30"/>
                <w:highlight w:val="none"/>
                <w:vertAlign w:val="baseline"/>
                <w:lang w:eastAsia="zh-CN"/>
              </w:rPr>
            </w:pPr>
            <w:r>
              <w:rPr>
                <w:rFonts w:hint="eastAsia" w:ascii="仿宋" w:hAnsi="仿宋" w:eastAsia="仿宋" w:cs="仿宋"/>
                <w:b/>
                <w:bCs/>
                <w:sz w:val="30"/>
                <w:szCs w:val="30"/>
                <w:highlight w:val="none"/>
                <w:vertAlign w:val="baseline"/>
                <w:lang w:eastAsia="zh-CN"/>
              </w:rPr>
              <w:t>资金来源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2488" w:type="dxa"/>
            <w:vAlign w:val="center"/>
          </w:tcPr>
          <w:p>
            <w:pPr>
              <w:numPr>
                <w:ilvl w:val="0"/>
                <w:numId w:val="0"/>
              </w:numPr>
              <w:spacing w:line="560" w:lineRule="exact"/>
              <w:jc w:val="center"/>
              <w:rPr>
                <w:rFonts w:hint="eastAsia" w:ascii="仿宋" w:hAnsi="仿宋" w:eastAsia="仿宋" w:cs="仿宋"/>
                <w:b/>
                <w:bCs/>
                <w:sz w:val="30"/>
                <w:szCs w:val="30"/>
                <w:highlight w:val="none"/>
                <w:vertAlign w:val="baseline"/>
                <w:lang w:eastAsia="zh-CN"/>
              </w:rPr>
            </w:pPr>
            <w:r>
              <w:rPr>
                <w:rFonts w:hint="eastAsia" w:ascii="仿宋" w:hAnsi="仿宋" w:eastAsia="仿宋" w:cs="仿宋"/>
                <w:b/>
                <w:bCs/>
                <w:sz w:val="24"/>
                <w:szCs w:val="24"/>
                <w:highlight w:val="none"/>
                <w:vertAlign w:val="baseline"/>
                <w:lang w:eastAsia="zh-CN"/>
              </w:rPr>
              <w:t>第一次入户摸底调查</w:t>
            </w:r>
          </w:p>
        </w:tc>
        <w:tc>
          <w:tcPr>
            <w:tcW w:w="932" w:type="dxa"/>
            <w:vMerge w:val="restart"/>
            <w:vAlign w:val="center"/>
          </w:tcPr>
          <w:p>
            <w:pPr>
              <w:numPr>
                <w:ilvl w:val="0"/>
                <w:numId w:val="0"/>
              </w:numPr>
              <w:spacing w:line="560" w:lineRule="exact"/>
              <w:jc w:val="center"/>
              <w:rPr>
                <w:rFonts w:hint="default" w:ascii="仿宋" w:hAnsi="仿宋" w:eastAsia="仿宋" w:cs="仿宋"/>
                <w:sz w:val="30"/>
                <w:szCs w:val="30"/>
                <w:highlight w:val="none"/>
                <w:vertAlign w:val="baseline"/>
                <w:lang w:val="en-US" w:eastAsia="zh-CN"/>
              </w:rPr>
            </w:pPr>
            <w:r>
              <w:rPr>
                <w:rFonts w:hint="eastAsia" w:ascii="仿宋" w:hAnsi="仿宋" w:eastAsia="仿宋" w:cs="仿宋"/>
                <w:sz w:val="18"/>
                <w:szCs w:val="18"/>
                <w:highlight w:val="none"/>
                <w:vertAlign w:val="baseline"/>
                <w:lang w:val="en-US" w:eastAsia="zh-CN"/>
              </w:rPr>
              <w:t>45元/户/次</w:t>
            </w:r>
          </w:p>
        </w:tc>
        <w:tc>
          <w:tcPr>
            <w:tcW w:w="870" w:type="dxa"/>
            <w:vAlign w:val="center"/>
          </w:tcPr>
          <w:p>
            <w:pPr>
              <w:numPr>
                <w:ilvl w:val="0"/>
                <w:numId w:val="0"/>
              </w:numPr>
              <w:spacing w:line="560" w:lineRule="exact"/>
              <w:jc w:val="center"/>
              <w:rPr>
                <w:rFonts w:hint="default"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1266</w:t>
            </w:r>
          </w:p>
        </w:tc>
        <w:tc>
          <w:tcPr>
            <w:tcW w:w="1769" w:type="dxa"/>
            <w:vAlign w:val="center"/>
          </w:tcPr>
          <w:p>
            <w:pPr>
              <w:numPr>
                <w:ilvl w:val="0"/>
                <w:numId w:val="0"/>
              </w:numPr>
              <w:spacing w:line="560" w:lineRule="exact"/>
              <w:jc w:val="center"/>
              <w:rPr>
                <w:rFonts w:hint="default"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56970.00</w:t>
            </w:r>
          </w:p>
        </w:tc>
        <w:tc>
          <w:tcPr>
            <w:tcW w:w="2986" w:type="dxa"/>
            <w:vMerge w:val="restart"/>
            <w:vAlign w:val="center"/>
          </w:tcPr>
          <w:p>
            <w:pPr>
              <w:numPr>
                <w:ilvl w:val="0"/>
                <w:numId w:val="0"/>
              </w:numPr>
              <w:spacing w:line="560" w:lineRule="exact"/>
              <w:jc w:val="center"/>
              <w:rPr>
                <w:rFonts w:hint="eastAsia" w:ascii="仿宋" w:hAnsi="仿宋" w:eastAsia="仿宋" w:cs="仿宋"/>
                <w:sz w:val="30"/>
                <w:szCs w:val="30"/>
                <w:highlight w:val="none"/>
                <w:vertAlign w:val="baseline"/>
                <w:lang w:eastAsia="zh-CN"/>
              </w:rPr>
            </w:pPr>
            <w:r>
              <w:rPr>
                <w:rFonts w:hint="eastAsia" w:ascii="仿宋" w:hAnsi="仿宋" w:eastAsia="仿宋" w:cs="仿宋"/>
                <w:sz w:val="30"/>
                <w:szCs w:val="30"/>
                <w:highlight w:val="none"/>
                <w:vertAlign w:val="baseline"/>
                <w:lang w:eastAsia="zh-CN"/>
              </w:rPr>
              <w:t>创业担保贷款奖补资金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2488" w:type="dxa"/>
            <w:vAlign w:val="center"/>
          </w:tcPr>
          <w:p>
            <w:pPr>
              <w:numPr>
                <w:ilvl w:val="0"/>
                <w:numId w:val="0"/>
              </w:numPr>
              <w:spacing w:line="560" w:lineRule="exact"/>
              <w:jc w:val="center"/>
              <w:rPr>
                <w:rFonts w:hint="eastAsia" w:ascii="仿宋" w:hAnsi="仿宋" w:eastAsia="仿宋" w:cs="仿宋"/>
                <w:b/>
                <w:bCs/>
                <w:sz w:val="30"/>
                <w:szCs w:val="30"/>
                <w:highlight w:val="none"/>
                <w:vertAlign w:val="baseline"/>
                <w:lang w:eastAsia="zh-CN"/>
              </w:rPr>
            </w:pPr>
            <w:r>
              <w:rPr>
                <w:rFonts w:hint="eastAsia" w:ascii="仿宋" w:hAnsi="仿宋" w:eastAsia="仿宋" w:cs="仿宋"/>
                <w:b/>
                <w:bCs/>
                <w:sz w:val="24"/>
                <w:szCs w:val="24"/>
                <w:highlight w:val="none"/>
                <w:vertAlign w:val="baseline"/>
                <w:lang w:eastAsia="zh-CN"/>
              </w:rPr>
              <w:t>第二次入户摸底调查</w:t>
            </w:r>
          </w:p>
        </w:tc>
        <w:tc>
          <w:tcPr>
            <w:tcW w:w="932" w:type="dxa"/>
            <w:vMerge w:val="continue"/>
          </w:tcPr>
          <w:p>
            <w:pPr>
              <w:numPr>
                <w:ilvl w:val="0"/>
                <w:numId w:val="0"/>
              </w:numPr>
              <w:spacing w:line="560" w:lineRule="exact"/>
              <w:jc w:val="center"/>
              <w:rPr>
                <w:rFonts w:hint="eastAsia" w:ascii="仿宋" w:hAnsi="仿宋" w:eastAsia="仿宋" w:cs="仿宋"/>
                <w:sz w:val="30"/>
                <w:szCs w:val="30"/>
                <w:highlight w:val="none"/>
                <w:vertAlign w:val="baseline"/>
                <w:lang w:val="en-US" w:eastAsia="zh-CN"/>
              </w:rPr>
            </w:pPr>
          </w:p>
        </w:tc>
        <w:tc>
          <w:tcPr>
            <w:tcW w:w="870" w:type="dxa"/>
            <w:vAlign w:val="center"/>
          </w:tcPr>
          <w:p>
            <w:pPr>
              <w:numPr>
                <w:ilvl w:val="0"/>
                <w:numId w:val="0"/>
              </w:numPr>
              <w:spacing w:line="560" w:lineRule="exact"/>
              <w:jc w:val="center"/>
              <w:rPr>
                <w:rFonts w:hint="default"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1266</w:t>
            </w:r>
          </w:p>
        </w:tc>
        <w:tc>
          <w:tcPr>
            <w:tcW w:w="1769" w:type="dxa"/>
            <w:vAlign w:val="center"/>
          </w:tcPr>
          <w:p>
            <w:pPr>
              <w:numPr>
                <w:ilvl w:val="0"/>
                <w:numId w:val="0"/>
              </w:numPr>
              <w:spacing w:line="560" w:lineRule="exact"/>
              <w:jc w:val="center"/>
              <w:rPr>
                <w:rFonts w:hint="default"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56970.00</w:t>
            </w:r>
          </w:p>
        </w:tc>
        <w:tc>
          <w:tcPr>
            <w:tcW w:w="2986" w:type="dxa"/>
            <w:vMerge w:val="continue"/>
          </w:tcPr>
          <w:p>
            <w:pPr>
              <w:numPr>
                <w:ilvl w:val="0"/>
                <w:numId w:val="0"/>
              </w:numPr>
              <w:spacing w:line="560" w:lineRule="exact"/>
              <w:jc w:val="center"/>
              <w:rPr>
                <w:rFonts w:hint="eastAsia" w:ascii="仿宋" w:hAnsi="仿宋" w:eastAsia="仿宋" w:cs="仿宋"/>
                <w:sz w:val="30"/>
                <w:szCs w:val="30"/>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2488" w:type="dxa"/>
          </w:tcPr>
          <w:p>
            <w:pPr>
              <w:numPr>
                <w:ilvl w:val="0"/>
                <w:numId w:val="0"/>
              </w:numPr>
              <w:spacing w:line="560" w:lineRule="exact"/>
              <w:jc w:val="center"/>
              <w:rPr>
                <w:rFonts w:hint="eastAsia" w:ascii="仿宋" w:hAnsi="仿宋" w:eastAsia="仿宋" w:cs="仿宋"/>
                <w:b/>
                <w:bCs/>
                <w:sz w:val="30"/>
                <w:szCs w:val="30"/>
                <w:highlight w:val="none"/>
                <w:vertAlign w:val="baseline"/>
                <w:lang w:eastAsia="zh-CN"/>
              </w:rPr>
            </w:pPr>
            <w:r>
              <w:rPr>
                <w:rFonts w:hint="eastAsia" w:ascii="仿宋" w:hAnsi="仿宋" w:eastAsia="仿宋" w:cs="仿宋"/>
                <w:b/>
                <w:bCs/>
                <w:sz w:val="30"/>
                <w:szCs w:val="30"/>
                <w:highlight w:val="none"/>
                <w:vertAlign w:val="baseline"/>
                <w:lang w:eastAsia="zh-CN"/>
              </w:rPr>
              <w:t>合计</w:t>
            </w:r>
          </w:p>
        </w:tc>
        <w:tc>
          <w:tcPr>
            <w:tcW w:w="932" w:type="dxa"/>
          </w:tcPr>
          <w:p>
            <w:pPr>
              <w:numPr>
                <w:ilvl w:val="0"/>
                <w:numId w:val="0"/>
              </w:numPr>
              <w:spacing w:line="560" w:lineRule="exact"/>
              <w:jc w:val="center"/>
              <w:rPr>
                <w:rFonts w:hint="default" w:ascii="仿宋" w:hAnsi="仿宋" w:eastAsia="仿宋" w:cs="仿宋"/>
                <w:sz w:val="30"/>
                <w:szCs w:val="30"/>
                <w:highlight w:val="none"/>
                <w:vertAlign w:val="baseline"/>
                <w:lang w:val="en-US" w:eastAsia="zh-CN"/>
              </w:rPr>
            </w:pPr>
          </w:p>
        </w:tc>
        <w:tc>
          <w:tcPr>
            <w:tcW w:w="870" w:type="dxa"/>
          </w:tcPr>
          <w:p>
            <w:pPr>
              <w:numPr>
                <w:ilvl w:val="0"/>
                <w:numId w:val="0"/>
              </w:numPr>
              <w:spacing w:line="560" w:lineRule="exact"/>
              <w:jc w:val="center"/>
              <w:rPr>
                <w:rFonts w:hint="eastAsia" w:ascii="仿宋" w:hAnsi="仿宋" w:eastAsia="仿宋" w:cs="仿宋"/>
                <w:color w:val="auto"/>
                <w:sz w:val="30"/>
                <w:szCs w:val="30"/>
                <w:highlight w:val="none"/>
                <w:vertAlign w:val="baseline"/>
                <w:lang w:val="en-US" w:eastAsia="zh-CN"/>
              </w:rPr>
            </w:pPr>
          </w:p>
        </w:tc>
        <w:tc>
          <w:tcPr>
            <w:tcW w:w="1769" w:type="dxa"/>
          </w:tcPr>
          <w:p>
            <w:pPr>
              <w:numPr>
                <w:ilvl w:val="0"/>
                <w:numId w:val="0"/>
              </w:numPr>
              <w:spacing w:line="560" w:lineRule="exact"/>
              <w:jc w:val="center"/>
              <w:rPr>
                <w:rFonts w:hint="default" w:ascii="黑体" w:hAnsi="黑体" w:eastAsia="黑体"/>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113940.00</w:t>
            </w:r>
          </w:p>
        </w:tc>
        <w:tc>
          <w:tcPr>
            <w:tcW w:w="2986" w:type="dxa"/>
          </w:tcPr>
          <w:p>
            <w:pPr>
              <w:numPr>
                <w:ilvl w:val="0"/>
                <w:numId w:val="0"/>
              </w:numPr>
              <w:spacing w:line="560" w:lineRule="exact"/>
              <w:rPr>
                <w:rFonts w:hint="eastAsia" w:ascii="黑体" w:hAnsi="黑体" w:eastAsia="黑体"/>
                <w:sz w:val="30"/>
                <w:szCs w:val="30"/>
                <w:highlight w:val="none"/>
                <w:vertAlign w:val="baseline"/>
              </w:rPr>
            </w:pPr>
          </w:p>
        </w:tc>
      </w:tr>
    </w:tbl>
    <w:p>
      <w:pPr>
        <w:spacing w:line="560" w:lineRule="exact"/>
        <w:ind w:firstLine="640" w:firstLineChars="200"/>
        <w:rPr>
          <w:rFonts w:hint="eastAsia" w:ascii="黑体" w:hAnsi="黑体" w:eastAsia="黑体"/>
          <w:sz w:val="32"/>
          <w:szCs w:val="32"/>
          <w:highlight w:val="none"/>
          <w:lang w:eastAsia="zh-CN"/>
        </w:rPr>
      </w:pPr>
      <w:r>
        <w:rPr>
          <w:rFonts w:hint="eastAsia" w:ascii="黑体" w:hAnsi="黑体" w:eastAsia="黑体"/>
          <w:sz w:val="32"/>
          <w:szCs w:val="32"/>
          <w:highlight w:val="none"/>
          <w:lang w:eastAsia="zh-CN"/>
        </w:rPr>
        <w:t>五、公示时间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2022年1月12日-2022年1月18日</w:t>
      </w:r>
    </w:p>
    <w:p>
      <w:pPr>
        <w:pStyle w:val="6"/>
        <w:widowControl w:val="0"/>
        <w:adjustRightInd w:val="0"/>
        <w:snapToGrid w:val="0"/>
        <w:spacing w:line="560" w:lineRule="exact"/>
        <w:jc w:val="center"/>
        <w:rPr>
          <w:rFonts w:ascii="仿宋_GB2312" w:hAnsi="仿宋" w:eastAsia="仿宋_GB2312"/>
          <w:sz w:val="32"/>
          <w:szCs w:val="44"/>
          <w:highlight w:val="none"/>
        </w:rPr>
      </w:pPr>
    </w:p>
    <w:p>
      <w:pPr>
        <w:spacing w:line="560" w:lineRule="exact"/>
        <w:jc w:val="right"/>
        <w:rPr>
          <w:rFonts w:ascii="仿宋_GB2312" w:eastAsia="仿宋_GB2312" w:cs="仿宋_GB2312"/>
          <w:sz w:val="32"/>
          <w:szCs w:val="32"/>
          <w:highlight w:val="none"/>
          <w:lang w:val="zh-CN"/>
        </w:rPr>
      </w:pPr>
      <w:r>
        <w:rPr>
          <w:rFonts w:hint="eastAsia" w:ascii="仿宋_GB2312" w:eastAsia="仿宋_GB2312" w:cs="仿宋_GB2312"/>
          <w:sz w:val="32"/>
          <w:szCs w:val="32"/>
          <w:highlight w:val="none"/>
          <w:lang w:val="zh-CN"/>
        </w:rPr>
        <w:t>昆明市呈贡区</w:t>
      </w:r>
      <w:r>
        <w:rPr>
          <w:rFonts w:hint="eastAsia" w:ascii="仿宋_GB2312" w:eastAsia="仿宋_GB2312" w:cs="仿宋_GB2312"/>
          <w:sz w:val="32"/>
          <w:szCs w:val="32"/>
          <w:highlight w:val="none"/>
          <w:lang w:eastAsia="zh-CN"/>
        </w:rPr>
        <w:t>劳动就业服务</w:t>
      </w:r>
      <w:r>
        <w:rPr>
          <w:rFonts w:hint="eastAsia" w:ascii="仿宋_GB2312" w:eastAsia="仿宋_GB2312" w:cs="仿宋_GB2312"/>
          <w:sz w:val="32"/>
          <w:szCs w:val="32"/>
          <w:highlight w:val="none"/>
          <w:lang w:val="zh-CN"/>
        </w:rPr>
        <w:t>局</w:t>
      </w:r>
    </w:p>
    <w:p>
      <w:pPr>
        <w:spacing w:line="560" w:lineRule="exact"/>
        <w:jc w:val="right"/>
        <w:rPr>
          <w:rFonts w:ascii="仿宋_GB2312" w:eastAsia="仿宋_GB2312" w:cs="仿宋_GB2312"/>
          <w:sz w:val="32"/>
          <w:szCs w:val="32"/>
          <w:highlight w:val="none"/>
          <w:lang w:val="zh-CN"/>
        </w:rPr>
      </w:pPr>
      <w:r>
        <w:rPr>
          <w:rFonts w:hint="eastAsia" w:ascii="仿宋_GB2312" w:eastAsia="仿宋_GB2312" w:cs="仿宋_GB2312"/>
          <w:sz w:val="32"/>
          <w:szCs w:val="32"/>
          <w:highlight w:val="none"/>
          <w:lang w:val="en-US" w:eastAsia="zh-CN"/>
        </w:rPr>
        <w:t>2022</w:t>
      </w:r>
      <w:r>
        <w:rPr>
          <w:rFonts w:hint="eastAsia" w:ascii="仿宋_GB2312" w:eastAsia="仿宋_GB2312" w:cs="仿宋_GB2312"/>
          <w:sz w:val="32"/>
          <w:szCs w:val="32"/>
          <w:highlight w:val="none"/>
          <w:lang w:val="zh-CN"/>
        </w:rPr>
        <w:t>年</w:t>
      </w:r>
      <w:r>
        <w:rPr>
          <w:rFonts w:hint="eastAsia" w:ascii="仿宋_GB2312" w:eastAsia="仿宋_GB2312" w:cs="仿宋_GB2312"/>
          <w:sz w:val="32"/>
          <w:szCs w:val="32"/>
          <w:highlight w:val="none"/>
          <w:lang w:val="en-US" w:eastAsia="zh-CN"/>
        </w:rPr>
        <w:t>1</w:t>
      </w:r>
      <w:r>
        <w:rPr>
          <w:rFonts w:hint="eastAsia" w:ascii="仿宋_GB2312" w:eastAsia="仿宋_GB2312" w:cs="仿宋_GB2312"/>
          <w:sz w:val="32"/>
          <w:szCs w:val="32"/>
          <w:highlight w:val="none"/>
          <w:lang w:val="zh-CN"/>
        </w:rPr>
        <w:t>月</w:t>
      </w:r>
      <w:r>
        <w:rPr>
          <w:rFonts w:hint="eastAsia" w:ascii="仿宋_GB2312" w:eastAsia="仿宋_GB2312" w:cs="仿宋_GB2312"/>
          <w:sz w:val="32"/>
          <w:szCs w:val="32"/>
          <w:highlight w:val="none"/>
          <w:lang w:val="en-US" w:eastAsia="zh-CN"/>
        </w:rPr>
        <w:t>12</w:t>
      </w:r>
      <w:r>
        <w:rPr>
          <w:rFonts w:hint="eastAsia" w:ascii="仿宋_GB2312" w:eastAsia="仿宋_GB2312" w:cs="仿宋_GB2312"/>
          <w:sz w:val="32"/>
          <w:szCs w:val="32"/>
          <w:highlight w:val="none"/>
          <w:lang w:val="zh-CN"/>
        </w:rPr>
        <w:t>日</w:t>
      </w:r>
    </w:p>
    <w:p>
      <w:pPr>
        <w:spacing w:line="560" w:lineRule="exact"/>
        <w:jc w:val="right"/>
        <w:rPr>
          <w:rFonts w:ascii="仿宋_GB2312" w:eastAsia="仿宋_GB2312" w:cs="仿宋_GB2312"/>
          <w:sz w:val="32"/>
          <w:szCs w:val="32"/>
          <w:highlight w:val="none"/>
          <w:lang w:val="zh-CN"/>
        </w:rPr>
      </w:pPr>
    </w:p>
    <w:p>
      <w:pPr>
        <w:spacing w:line="560" w:lineRule="exact"/>
        <w:rPr>
          <w:rFonts w:hint="default" w:ascii="仿宋_GB2312" w:hAnsi="微软雅黑" w:eastAsia="仿宋_GB2312" w:cs="微软雅黑"/>
          <w:sz w:val="32"/>
          <w:szCs w:val="32"/>
          <w:highlight w:val="none"/>
          <w:lang w:val="en-US" w:eastAsia="zh-CN"/>
        </w:rPr>
      </w:pPr>
      <w:r>
        <w:rPr>
          <w:rFonts w:hint="eastAsia" w:ascii="仿宋_GB2312" w:eastAsia="仿宋_GB2312" w:cs="仿宋_GB2312"/>
          <w:sz w:val="32"/>
          <w:szCs w:val="32"/>
          <w:highlight w:val="none"/>
          <w:lang w:val="zh-CN"/>
        </w:rPr>
        <w:t>(联系人：</w:t>
      </w:r>
      <w:r>
        <w:rPr>
          <w:rFonts w:hint="eastAsia" w:ascii="仿宋_GB2312" w:eastAsia="仿宋_GB2312" w:cs="仿宋_GB2312"/>
          <w:sz w:val="32"/>
          <w:szCs w:val="32"/>
          <w:highlight w:val="none"/>
          <w:lang w:eastAsia="zh-CN"/>
        </w:rPr>
        <w:t>张雁楠</w:t>
      </w:r>
      <w:r>
        <w:rPr>
          <w:rFonts w:hint="eastAsia" w:ascii="仿宋_GB2312" w:eastAsia="仿宋_GB2312" w:cs="仿宋_GB2312"/>
          <w:sz w:val="32"/>
          <w:szCs w:val="32"/>
          <w:highlight w:val="none"/>
          <w:lang w:val="zh-CN"/>
        </w:rPr>
        <w:t xml:space="preserve">  联系电话：</w:t>
      </w:r>
      <w:r>
        <w:rPr>
          <w:rFonts w:hint="eastAsia" w:ascii="仿宋_GB2312" w:eastAsia="仿宋_GB2312" w:cs="仿宋_GB2312"/>
          <w:sz w:val="32"/>
          <w:szCs w:val="32"/>
          <w:highlight w:val="none"/>
          <w:lang w:val="en-US" w:eastAsia="zh-CN"/>
        </w:rPr>
        <w:t>0871-67473328）</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M5YjUzZmNlYzIwNGY2NzAyYTQwZWZlNmZjNDUxOGYifQ=="/>
  </w:docVars>
  <w:rsids>
    <w:rsidRoot w:val="24BD5367"/>
    <w:rsid w:val="24BD53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Hyperlink"/>
    <w:basedOn w:val="4"/>
    <w:uiPriority w:val="0"/>
    <w:rPr>
      <w:color w:val="0000FF"/>
      <w:u w:val="single"/>
    </w:rPr>
  </w:style>
  <w:style w:type="paragraph" w:customStyle="1" w:styleId="6">
    <w:name w:val="p0"/>
    <w:basedOn w:val="1"/>
    <w:qFormat/>
    <w:uiPriority w:val="0"/>
    <w:pPr>
      <w:widowControl/>
    </w:pPr>
    <w:rPr>
      <w:rFonts w:ascii="Times New Roman" w:hAnsi="Times New Roman" w:eastAsia="宋体" w:cs="Times New Roman"/>
      <w:kern w:val="0"/>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39</Words>
  <Characters>40</Characters>
  <Lines>0</Lines>
  <Paragraphs>0</Paragraphs>
  <TotalTime>0</TotalTime>
  <ScaleCrop>false</ScaleCrop>
  <LinksUpToDate>false</LinksUpToDate>
  <CharactersWithSpaces>40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2023-09-05T09:25:00Z</dcterms:created>
  <dc:creator>Administrator</dc:creator>
  <cp:lastModifiedBy>Administrator</cp:lastModifiedBy>
  <dcterms:modified xsi:type="dcterms:W3CDTF">2023-09-05T09:27:49Z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D9F3F93912A84A69B82D8E8A397EDD78_11</vt:lpwstr>
  </property>
</Properties>
</file>