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bidi w:val="0"/>
        <w:spacing w:line="560" w:lineRule="exact"/>
        <w:ind w:firstLine="0" w:firstLineChars="0"/>
        <w:jc w:val="both"/>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bCs/>
          <w:sz w:val="44"/>
          <w:szCs w:val="44"/>
          <w:lang w:eastAsia="zh-CN"/>
        </w:rPr>
        <w:t>附件</w:t>
      </w:r>
      <w:r>
        <w:rPr>
          <w:rFonts w:hint="eastAsia" w:ascii="方正小标宋简体" w:hAnsi="方正小标宋简体" w:eastAsia="方正小标宋简体" w:cs="方正小标宋简体"/>
          <w:b/>
          <w:bCs/>
          <w:sz w:val="44"/>
          <w:szCs w:val="44"/>
          <w:lang w:val="en-US" w:eastAsia="zh-CN"/>
        </w:rPr>
        <w:t>3</w:t>
      </w:r>
    </w:p>
    <w:p>
      <w:pPr>
        <w:pStyle w:val="6"/>
        <w:keepNext w:val="0"/>
        <w:keepLines w:val="0"/>
        <w:pageBreakBefore w:val="0"/>
        <w:widowControl w:val="0"/>
        <w:kinsoku/>
        <w:wordWrap/>
        <w:overflowPunct/>
        <w:topLinePunct w:val="0"/>
        <w:bidi w:val="0"/>
        <w:spacing w:line="560" w:lineRule="exact"/>
        <w:ind w:firstLine="0" w:firstLineChars="0"/>
        <w:jc w:val="center"/>
        <w:outlineLvl w:val="0"/>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bCs/>
          <w:sz w:val="44"/>
          <w:szCs w:val="44"/>
          <w:lang w:val="en-US" w:eastAsia="zh-CN"/>
        </w:rPr>
        <w:t>评审程序及办法</w:t>
      </w:r>
    </w:p>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sz w:val="32"/>
          <w:szCs w:val="32"/>
          <w:lang w:val="en-US" w:eastAsia="zh-CN"/>
        </w:rPr>
      </w:pPr>
    </w:p>
    <w:p>
      <w:pPr>
        <w:pStyle w:val="2"/>
        <w:keepNext w:val="0"/>
        <w:keepLines w:val="0"/>
        <w:pageBreakBefore w:val="0"/>
        <w:widowControl w:val="0"/>
        <w:kinsoku/>
        <w:wordWrap/>
        <w:overflowPunct/>
        <w:topLinePunct w:val="0"/>
        <w:bidi w:val="0"/>
        <w:snapToGrid/>
        <w:spacing w:after="0" w:line="560" w:lineRule="exact"/>
        <w:ind w:firstLine="640" w:firstLineChars="200"/>
        <w:jc w:val="both"/>
        <w:textAlignment w:val="auto"/>
        <w:outlineLvl w:val="0"/>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一、总则</w:t>
      </w:r>
    </w:p>
    <w:p>
      <w:pPr>
        <w:pStyle w:val="2"/>
        <w:keepNext w:val="0"/>
        <w:keepLines w:val="0"/>
        <w:pageBreakBefore w:val="0"/>
        <w:widowControl w:val="0"/>
        <w:kinsoku/>
        <w:wordWrap/>
        <w:overflowPunct/>
        <w:topLinePunct w:val="0"/>
        <w:bidi w:val="0"/>
        <w:snapToGrid/>
        <w:spacing w:after="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根据《中华人民共和国政府采购法》《中华人民共和国政府采购法实施条例》《政府采购货物和服务招标投标管理办法》（财政部令第87号）等有关法律、法规和规章的规定，制定本办法。</w:t>
      </w:r>
    </w:p>
    <w:p>
      <w:pPr>
        <w:keepNext w:val="0"/>
        <w:keepLines w:val="0"/>
        <w:pageBreakBefore w:val="0"/>
        <w:widowControl w:val="0"/>
        <w:kinsoku/>
        <w:wordWrap/>
        <w:overflowPunct/>
        <w:topLinePunct w:val="0"/>
        <w:bidi w:val="0"/>
        <w:snapToGrid/>
        <w:spacing w:beforeAutospacing="0" w:afterAutospacing="0" w:line="560" w:lineRule="exact"/>
        <w:ind w:firstLine="640" w:firstLineChars="200"/>
        <w:jc w:val="both"/>
        <w:textAlignment w:val="auto"/>
        <w:outlineLvl w:val="0"/>
        <w:rPr>
          <w:rFonts w:hint="eastAsia" w:ascii="仿宋_GB2312" w:hAnsi="仿宋_GB2312" w:eastAsia="仿宋_GB2312" w:cs="仿宋_GB2312"/>
          <w:color w:val="auto"/>
          <w:sz w:val="32"/>
          <w:szCs w:val="32"/>
          <w:lang w:val="en-US" w:eastAsia="zh-CN" w:bidi="ar-SA"/>
        </w:rPr>
      </w:pPr>
      <w:bookmarkStart w:id="0" w:name="_Toc5787"/>
      <w:bookmarkStart w:id="1" w:name="_Toc19995"/>
      <w:bookmarkStart w:id="2" w:name="_Toc7905"/>
      <w:bookmarkStart w:id="3" w:name="_Toc24134"/>
      <w:r>
        <w:rPr>
          <w:rFonts w:hint="eastAsia" w:ascii="仿宋_GB2312" w:hAnsi="仿宋_GB2312" w:eastAsia="仿宋_GB2312" w:cs="仿宋_GB2312"/>
          <w:color w:val="auto"/>
          <w:sz w:val="32"/>
          <w:szCs w:val="32"/>
          <w:lang w:val="en-US" w:eastAsia="zh-CN" w:bidi="ar-SA"/>
        </w:rPr>
        <w:t>二、评审原则</w:t>
      </w:r>
      <w:bookmarkEnd w:id="0"/>
      <w:bookmarkEnd w:id="1"/>
      <w:bookmarkEnd w:id="2"/>
      <w:bookmarkEnd w:id="3"/>
    </w:p>
    <w:p>
      <w:pPr>
        <w:pStyle w:val="10"/>
        <w:keepNext w:val="0"/>
        <w:keepLines w:val="0"/>
        <w:pageBreakBefore w:val="0"/>
        <w:widowControl w:val="0"/>
        <w:numPr>
          <w:ilvl w:val="0"/>
          <w:numId w:val="0"/>
        </w:numPr>
        <w:tabs>
          <w:tab w:val="left" w:pos="567"/>
        </w:tabs>
        <w:kinsoku/>
        <w:wordWrap/>
        <w:overflowPunct/>
        <w:topLinePunct w:val="0"/>
        <w:autoSpaceDE/>
        <w:autoSpaceDN/>
        <w:bidi w:val="0"/>
        <w:adjustRightInd/>
        <w:snapToGrid/>
        <w:spacing w:before="0" w:beforeAutospacing="0" w:afterAutospacing="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坚持公平、公正、科学、择优的原则，本着实事求是的精神，不带有任何主观意愿和偏见，认真负责地做好评审工作，公平、公正地对待每一个供应商，全面分析，综合评审。</w:t>
      </w:r>
    </w:p>
    <w:p>
      <w:pPr>
        <w:pStyle w:val="10"/>
        <w:keepNext w:val="0"/>
        <w:keepLines w:val="0"/>
        <w:pageBreakBefore w:val="0"/>
        <w:widowControl w:val="0"/>
        <w:numPr>
          <w:ilvl w:val="0"/>
          <w:numId w:val="0"/>
        </w:numPr>
        <w:tabs>
          <w:tab w:val="left" w:pos="426"/>
        </w:tabs>
        <w:kinsoku/>
        <w:wordWrap/>
        <w:overflowPunct/>
        <w:topLinePunct w:val="0"/>
        <w:autoSpaceDE/>
        <w:autoSpaceDN/>
        <w:bidi w:val="0"/>
        <w:adjustRightInd/>
        <w:snapToGrid/>
        <w:spacing w:before="0" w:beforeAutospacing="0" w:afterAutospacing="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评审只对供应商的响应文件进行评审，响应文件以外的资料、信息不应作为评审的依据。</w:t>
      </w:r>
    </w:p>
    <w:p>
      <w:pPr>
        <w:keepNext w:val="0"/>
        <w:keepLines w:val="0"/>
        <w:pageBreakBefore w:val="0"/>
        <w:widowControl w:val="0"/>
        <w:kinsoku/>
        <w:wordWrap/>
        <w:overflowPunct/>
        <w:topLinePunct w:val="0"/>
        <w:bidi w:val="0"/>
        <w:snapToGrid/>
        <w:spacing w:beforeAutospacing="0" w:afterAutospacing="0" w:line="560" w:lineRule="exact"/>
        <w:ind w:firstLine="640" w:firstLineChars="200"/>
        <w:jc w:val="both"/>
        <w:textAlignment w:val="auto"/>
        <w:outlineLvl w:val="0"/>
        <w:rPr>
          <w:rFonts w:hint="eastAsia" w:ascii="仿宋_GB2312" w:hAnsi="仿宋_GB2312" w:eastAsia="仿宋_GB2312" w:cs="仿宋_GB2312"/>
          <w:color w:val="auto"/>
          <w:sz w:val="32"/>
          <w:szCs w:val="32"/>
          <w:lang w:val="en-US" w:eastAsia="zh-CN" w:bidi="ar-SA"/>
        </w:rPr>
      </w:pPr>
      <w:bookmarkStart w:id="4" w:name="_Toc11916"/>
      <w:bookmarkStart w:id="5" w:name="_Toc29093"/>
      <w:bookmarkStart w:id="6" w:name="_Toc1443"/>
      <w:bookmarkStart w:id="7" w:name="_Toc8665"/>
      <w:r>
        <w:rPr>
          <w:rFonts w:hint="eastAsia" w:ascii="仿宋_GB2312" w:hAnsi="仿宋_GB2312" w:eastAsia="仿宋_GB2312" w:cs="仿宋_GB2312"/>
          <w:color w:val="auto"/>
          <w:sz w:val="32"/>
          <w:szCs w:val="32"/>
          <w:lang w:val="en-US" w:eastAsia="zh-CN" w:bidi="ar-SA"/>
        </w:rPr>
        <w:t>三、综合评分</w:t>
      </w:r>
      <w:bookmarkEnd w:id="4"/>
      <w:bookmarkEnd w:id="5"/>
      <w:bookmarkEnd w:id="6"/>
      <w:bookmarkEnd w:id="7"/>
    </w:p>
    <w:p>
      <w:pPr>
        <w:pStyle w:val="3"/>
        <w:keepNext w:val="0"/>
        <w:keepLines w:val="0"/>
        <w:pageBreakBefore w:val="0"/>
        <w:widowControl w:val="0"/>
        <w:kinsoku/>
        <w:wordWrap/>
        <w:overflowPunct/>
        <w:topLinePunct w:val="0"/>
        <w:autoSpaceDE/>
        <w:autoSpaceDN/>
        <w:bidi w:val="0"/>
        <w:adjustRightInd/>
        <w:snapToGrid/>
        <w:spacing w:beforeAutospacing="0" w:after="0" w:afterLines="0" w:afterAutospacing="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sz w:val="32"/>
          <w:szCs w:val="32"/>
          <w:lang w:val="en-US" w:eastAsia="zh-CN" w:bidi="ar-SA"/>
        </w:rPr>
        <w:t>对资格审查评审合格的响应文件按以下方法进行综合评分。</w:t>
      </w:r>
    </w:p>
    <w:p>
      <w:pPr>
        <w:pStyle w:val="2"/>
        <w:keepNext w:val="0"/>
        <w:keepLines w:val="0"/>
        <w:pageBreakBefore w:val="0"/>
        <w:widowControl w:val="0"/>
        <w:kinsoku/>
        <w:wordWrap/>
        <w:overflowPunct/>
        <w:topLinePunct w:val="0"/>
        <w:bidi w:val="0"/>
        <w:snapToGrid/>
        <w:spacing w:after="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bidi="ar-SA"/>
        </w:rPr>
      </w:pPr>
      <w:r>
        <w:rPr>
          <w:rFonts w:hint="eastAsia" w:ascii="仿宋_GB2312" w:hAnsi="仿宋_GB2312" w:eastAsia="仿宋_GB2312" w:cs="仿宋_GB2312"/>
          <w:color w:val="auto"/>
          <w:kern w:val="1"/>
          <w:sz w:val="32"/>
          <w:szCs w:val="32"/>
          <w:highlight w:val="none"/>
          <w:lang w:val="en-US" w:eastAsia="zh-CN" w:bidi="ar-SA"/>
        </w:rPr>
        <w:t>评审小组</w:t>
      </w:r>
      <w:r>
        <w:rPr>
          <w:rFonts w:hint="eastAsia" w:ascii="仿宋_GB2312" w:hAnsi="仿宋_GB2312" w:eastAsia="仿宋_GB2312" w:cs="仿宋_GB2312"/>
          <w:color w:val="auto"/>
          <w:sz w:val="32"/>
          <w:szCs w:val="32"/>
          <w:lang w:val="en-US" w:eastAsia="zh-CN" w:bidi="ar-SA"/>
        </w:rPr>
        <w:t>按以下公式计算出各供应商的总得分，推荐中标候选人按评审总得分由高到低顺序排列；评审总得分相同的，按响应报价由低到高顺序排列；评审总得分且响应报价相同的，按技术部分得分高低排列，依次类推</w:t>
      </w:r>
    </w:p>
    <w:p>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sz w:val="32"/>
          <w:szCs w:val="32"/>
          <w:lang w:val="en-US" w:eastAsia="zh-CN" w:bidi="ar-SA"/>
        </w:rPr>
        <w:t>四、资格审查</w:t>
      </w:r>
    </w:p>
    <w:p>
      <w:pPr>
        <w:keepNext w:val="0"/>
        <w:keepLines w:val="0"/>
        <w:pageBreakBefore w:val="0"/>
        <w:widowControl w:val="0"/>
        <w:kinsoku/>
        <w:wordWrap/>
        <w:overflowPunct/>
        <w:topLinePunct w:val="0"/>
        <w:bidi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1.云大启迪科技园项目前期投入资金专项审计政府购买服务计划报名时间截止后，</w:t>
      </w:r>
      <w:r>
        <w:rPr>
          <w:rFonts w:hint="eastAsia" w:ascii="仿宋_GB2312" w:hAnsi="仿宋_GB2312" w:eastAsia="仿宋_GB2312" w:cs="仿宋_GB2312"/>
          <w:color w:val="auto"/>
          <w:kern w:val="1"/>
          <w:sz w:val="32"/>
          <w:szCs w:val="32"/>
          <w:highlight w:val="none"/>
          <w:lang w:val="en-US" w:eastAsia="zh-CN" w:bidi="ar-SA"/>
        </w:rPr>
        <w:t>评审小组</w:t>
      </w:r>
      <w:r>
        <w:rPr>
          <w:rFonts w:hint="eastAsia" w:ascii="仿宋_GB2312" w:hAnsi="仿宋_GB2312" w:eastAsia="仿宋_GB2312" w:cs="仿宋_GB2312"/>
          <w:sz w:val="32"/>
          <w:szCs w:val="32"/>
          <w:lang w:val="en-US" w:eastAsia="zh-CN"/>
        </w:rPr>
        <w:t>依法对供应商的资格进行审查。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2.资格审查标准：依据法律法规和购买服务计划的规定，对响应文件中的资格条件以及证明文件等进行审查，以确定供应商是否具备响应资格；见“附件</w:t>
      </w:r>
      <w:bookmarkStart w:id="8" w:name="_GoBack"/>
      <w:bookmarkEnd w:id="8"/>
      <w:r>
        <w:rPr>
          <w:rFonts w:hint="eastAsia" w:ascii="仿宋_GB2312" w:hAnsi="仿宋_GB2312" w:eastAsia="仿宋_GB2312" w:cs="仿宋_GB2312"/>
          <w:sz w:val="32"/>
          <w:szCs w:val="32"/>
          <w:lang w:val="en-US" w:eastAsia="zh-CN"/>
        </w:rPr>
        <w:t>2.资格审查表”。</w:t>
      </w:r>
    </w:p>
    <w:p>
      <w:pPr>
        <w:keepNext w:val="0"/>
        <w:keepLines w:val="0"/>
        <w:pageBreakBefore w:val="0"/>
        <w:widowControl w:val="0"/>
        <w:kinsoku/>
        <w:wordWrap/>
        <w:overflowPunct/>
        <w:topLinePunct w:val="0"/>
        <w:bidi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3.资格审查程序</w:t>
      </w:r>
    </w:p>
    <w:p>
      <w:pPr>
        <w:keepNext w:val="0"/>
        <w:keepLines w:val="0"/>
        <w:pageBreakBefore w:val="0"/>
        <w:widowControl w:val="0"/>
        <w:kinsoku/>
        <w:wordWrap/>
        <w:overflowPunct/>
        <w:topLinePunct w:val="0"/>
        <w:bidi w:val="0"/>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color w:val="auto"/>
          <w:kern w:val="1"/>
          <w:sz w:val="32"/>
          <w:szCs w:val="32"/>
          <w:highlight w:val="none"/>
          <w:lang w:val="en-US" w:eastAsia="zh-CN" w:bidi="ar-SA"/>
        </w:rPr>
        <w:t>评审小组</w:t>
      </w:r>
      <w:r>
        <w:rPr>
          <w:rFonts w:hint="eastAsia" w:ascii="仿宋_GB2312" w:hAnsi="仿宋_GB2312" w:eastAsia="仿宋_GB2312" w:cs="仿宋_GB2312"/>
          <w:sz w:val="32"/>
          <w:szCs w:val="32"/>
          <w:lang w:val="en-US" w:eastAsia="zh-CN"/>
        </w:rPr>
        <w:t>依据本章资格评审标准规定的标准对响应文件进行资格审查。有一项不符合审查标准的，响应无效。</w:t>
      </w:r>
    </w:p>
    <w:p>
      <w:pPr>
        <w:keepNext w:val="0"/>
        <w:keepLines w:val="0"/>
        <w:pageBreakBefore w:val="0"/>
        <w:widowControl w:val="0"/>
        <w:kinsoku/>
        <w:wordWrap/>
        <w:overflowPunct/>
        <w:topLinePunct w:val="0"/>
        <w:bidi w:val="0"/>
        <w:spacing w:line="56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注：合格供应商不足3家的，不再进入评审程序，作流标处理。</w:t>
      </w:r>
    </w:p>
    <w:p>
      <w:pPr>
        <w:keepNext w:val="0"/>
        <w:keepLines w:val="0"/>
        <w:pageBreakBefore w:val="0"/>
        <w:widowControl w:val="0"/>
        <w:numPr>
          <w:ilvl w:val="0"/>
          <w:numId w:val="0"/>
        </w:numPr>
        <w:kinsoku/>
        <w:wordWrap/>
        <w:overflowPunct/>
        <w:topLinePunct w:val="0"/>
        <w:bidi w:val="0"/>
        <w:spacing w:line="560" w:lineRule="exact"/>
        <w:ind w:firstLine="640" w:firstLineChars="200"/>
        <w:jc w:val="both"/>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五、评分办法（综合评分法）</w:t>
      </w:r>
    </w:p>
    <w:p>
      <w:pPr>
        <w:pStyle w:val="2"/>
        <w:keepNext w:val="0"/>
        <w:keepLines w:val="0"/>
        <w:pageBreakBefore w:val="0"/>
        <w:widowControl w:val="0"/>
        <w:numPr>
          <w:ilvl w:val="0"/>
          <w:numId w:val="0"/>
        </w:numPr>
        <w:kinsoku/>
        <w:wordWrap/>
        <w:overflowPunct/>
        <w:topLinePunct w:val="0"/>
        <w:bidi w:val="0"/>
        <w:spacing w:after="0" w:line="560" w:lineRule="exact"/>
        <w:ind w:firstLine="640" w:firstLineChars="200"/>
        <w:jc w:val="both"/>
        <w:textAlignment w:val="auto"/>
        <w:outlineLvl w:val="1"/>
        <w:rPr>
          <w:rStyle w:val="8"/>
          <w:rFonts w:hint="eastAsia" w:ascii="仿宋_GB2312" w:hAnsi="仿宋_GB2312" w:eastAsia="仿宋_GB2312" w:cs="仿宋_GB2312"/>
          <w:color w:val="auto"/>
          <w:kern w:val="1"/>
          <w:sz w:val="32"/>
          <w:szCs w:val="32"/>
          <w:highlight w:val="none"/>
          <w:lang w:val="en-US" w:eastAsia="zh-CN" w:bidi="ar-SA"/>
        </w:rPr>
      </w:pPr>
      <w:r>
        <w:rPr>
          <w:rFonts w:hint="eastAsia" w:ascii="仿宋_GB2312" w:hAnsi="仿宋_GB2312" w:eastAsia="仿宋_GB2312" w:cs="仿宋_GB2312"/>
          <w:color w:val="auto"/>
          <w:kern w:val="1"/>
          <w:sz w:val="32"/>
          <w:szCs w:val="32"/>
          <w:highlight w:val="none"/>
          <w:lang w:val="en-US" w:eastAsia="zh-CN" w:bidi="ar-SA"/>
        </w:rPr>
        <w:t>1.分值构成（满分100分）</w:t>
      </w:r>
    </w:p>
    <w:p>
      <w:pPr>
        <w:keepNext w:val="0"/>
        <w:keepLines w:val="0"/>
        <w:pageBreakBefore w:val="0"/>
        <w:widowControl w:val="0"/>
        <w:kinsoku/>
        <w:wordWrap/>
        <w:overflowPunct/>
        <w:topLinePunct w:val="0"/>
        <w:bidi w:val="0"/>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color w:val="auto"/>
          <w:kern w:val="1"/>
          <w:sz w:val="32"/>
          <w:szCs w:val="32"/>
          <w:highlight w:val="none"/>
          <w:lang w:val="en-US" w:eastAsia="zh-CN" w:bidi="ar-SA"/>
        </w:rPr>
        <w:t>评审小组仅对通过资格审查的供应商的响应文件进行详细评审，详细评审（满分100分）分为商务评审和技术评审两部分，</w:t>
      </w:r>
      <w:r>
        <w:rPr>
          <w:rFonts w:hint="eastAsia" w:ascii="仿宋_GB2312" w:hAnsi="仿宋_GB2312" w:eastAsia="仿宋_GB2312" w:cs="仿宋_GB2312"/>
          <w:color w:val="auto"/>
          <w:kern w:val="2"/>
          <w:sz w:val="32"/>
          <w:szCs w:val="32"/>
          <w:highlight w:val="none"/>
          <w:lang w:val="en-US" w:eastAsia="zh-CN" w:bidi="ar-SA"/>
        </w:rPr>
        <w:t>F1</w:t>
      </w:r>
      <w:r>
        <w:rPr>
          <w:rFonts w:hint="eastAsia" w:ascii="仿宋_GB2312" w:hAnsi="仿宋_GB2312" w:eastAsia="仿宋_GB2312" w:cs="仿宋_GB2312"/>
          <w:color w:val="auto"/>
          <w:kern w:val="1"/>
          <w:sz w:val="32"/>
          <w:szCs w:val="32"/>
          <w:highlight w:val="none"/>
          <w:lang w:val="en-US" w:eastAsia="zh-CN" w:bidi="ar-SA"/>
        </w:rPr>
        <w:t>报价部分=10分，</w:t>
      </w:r>
      <w:r>
        <w:rPr>
          <w:rFonts w:hint="eastAsia" w:ascii="仿宋_GB2312" w:hAnsi="仿宋_GB2312" w:eastAsia="仿宋_GB2312" w:cs="仿宋_GB2312"/>
          <w:color w:val="auto"/>
          <w:kern w:val="2"/>
          <w:sz w:val="32"/>
          <w:szCs w:val="32"/>
          <w:highlight w:val="none"/>
          <w:lang w:val="en-US" w:eastAsia="zh-CN" w:bidi="ar-SA"/>
        </w:rPr>
        <w:t>F2</w:t>
      </w:r>
      <w:r>
        <w:rPr>
          <w:rFonts w:hint="eastAsia" w:ascii="仿宋_GB2312" w:hAnsi="仿宋_GB2312" w:eastAsia="仿宋_GB2312" w:cs="仿宋_GB2312"/>
          <w:color w:val="auto"/>
          <w:kern w:val="1"/>
          <w:sz w:val="32"/>
          <w:szCs w:val="32"/>
          <w:highlight w:val="none"/>
          <w:lang w:val="en-US" w:eastAsia="zh-CN" w:bidi="ar-SA"/>
        </w:rPr>
        <w:t>技术部分=90分</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1"/>
          <w:sz w:val="32"/>
          <w:szCs w:val="32"/>
          <w:highlight w:val="none"/>
          <w:lang w:val="en-US" w:eastAsia="zh-CN" w:bidi="ar-SA"/>
        </w:rPr>
        <w:t>供应商的最后得分=F1+F2，评审小组按供应商的最后得分高低进行排序。</w:t>
      </w:r>
    </w:p>
    <w:p>
      <w:pPr>
        <w:keepNext w:val="0"/>
        <w:keepLines w:val="0"/>
        <w:pageBreakBefore w:val="0"/>
        <w:widowControl w:val="0"/>
        <w:kinsoku/>
        <w:wordWrap/>
        <w:overflowPunct/>
        <w:topLinePunct w:val="0"/>
        <w:bidi w:val="0"/>
        <w:spacing w:line="560" w:lineRule="exact"/>
        <w:ind w:firstLine="640" w:firstLineChars="200"/>
        <w:jc w:val="both"/>
        <w:textAlignment w:val="auto"/>
        <w:outlineLvl w:val="1"/>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2.商务评审：F1</w:t>
      </w:r>
      <w:r>
        <w:rPr>
          <w:rFonts w:hint="eastAsia" w:ascii="仿宋_GB2312" w:hAnsi="仿宋_GB2312" w:eastAsia="仿宋_GB2312" w:cs="仿宋_GB2312"/>
          <w:b w:val="0"/>
          <w:bCs w:val="0"/>
          <w:sz w:val="32"/>
          <w:szCs w:val="32"/>
        </w:rPr>
        <w:t>价格部分评分办法（满分10分）</w:t>
      </w:r>
    </w:p>
    <w:p>
      <w:pPr>
        <w:keepNext w:val="0"/>
        <w:keepLines w:val="0"/>
        <w:pageBreakBefore w:val="0"/>
        <w:widowControl w:val="0"/>
        <w:kinsoku/>
        <w:wordWrap/>
        <w:overflowPunct/>
        <w:topLinePunct w:val="0"/>
        <w:bidi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本项目的价格分采用低价优先法计算，即通过本项目</w:t>
      </w:r>
      <w:r>
        <w:rPr>
          <w:rFonts w:hint="eastAsia" w:ascii="仿宋_GB2312" w:hAnsi="仿宋_GB2312" w:eastAsia="仿宋_GB2312" w:cs="仿宋_GB2312"/>
          <w:b w:val="0"/>
          <w:bCs w:val="0"/>
          <w:sz w:val="32"/>
          <w:szCs w:val="32"/>
          <w:lang w:eastAsia="zh-CN"/>
        </w:rPr>
        <w:t>资格</w:t>
      </w:r>
      <w:r>
        <w:rPr>
          <w:rFonts w:hint="eastAsia" w:ascii="仿宋_GB2312" w:hAnsi="仿宋_GB2312" w:eastAsia="仿宋_GB2312" w:cs="仿宋_GB2312"/>
          <w:b w:val="0"/>
          <w:bCs w:val="0"/>
          <w:sz w:val="32"/>
          <w:szCs w:val="32"/>
        </w:rPr>
        <w:t>审查且价格最低的报价为评审基准价，其价格分为满分即10分。其他</w:t>
      </w:r>
      <w:r>
        <w:rPr>
          <w:rFonts w:hint="eastAsia" w:ascii="仿宋_GB2312" w:hAnsi="仿宋_GB2312" w:eastAsia="仿宋_GB2312" w:cs="仿宋_GB2312"/>
          <w:b w:val="0"/>
          <w:bCs w:val="0"/>
          <w:sz w:val="32"/>
          <w:szCs w:val="32"/>
          <w:lang w:eastAsia="zh-CN"/>
        </w:rPr>
        <w:t>供应商</w:t>
      </w:r>
      <w:r>
        <w:rPr>
          <w:rFonts w:hint="eastAsia" w:ascii="仿宋_GB2312" w:hAnsi="仿宋_GB2312" w:eastAsia="仿宋_GB2312" w:cs="仿宋_GB2312"/>
          <w:b w:val="0"/>
          <w:bCs w:val="0"/>
          <w:sz w:val="32"/>
          <w:szCs w:val="32"/>
        </w:rPr>
        <w:t>的价格分统一按照下列公式计算：</w:t>
      </w:r>
    </w:p>
    <w:p>
      <w:pPr>
        <w:keepNext w:val="0"/>
        <w:keepLines w:val="0"/>
        <w:pageBreakBefore w:val="0"/>
        <w:widowControl w:val="0"/>
        <w:kinsoku/>
        <w:wordWrap/>
        <w:overflowPunct/>
        <w:topLinePunct w:val="0"/>
        <w:bidi w:val="0"/>
        <w:snapToGrid w:val="0"/>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报价得分=</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评审基准价／</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1-响应报价</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rPr>
        <w:t>×10；</w:t>
      </w:r>
    </w:p>
    <w:p>
      <w:pPr>
        <w:keepNext w:val="0"/>
        <w:keepLines w:val="0"/>
        <w:pageBreakBefore w:val="0"/>
        <w:widowControl w:val="0"/>
        <w:kinsoku/>
        <w:wordWrap/>
        <w:overflowPunct/>
        <w:topLinePunct w:val="0"/>
        <w:bidi w:val="0"/>
        <w:snapToGrid w:val="0"/>
        <w:spacing w:line="560" w:lineRule="exact"/>
        <w:ind w:firstLine="643"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注：价格分采用低价优先法计算，但最低价不作为中标的保证。</w:t>
      </w:r>
    </w:p>
    <w:p>
      <w:pPr>
        <w:keepNext w:val="0"/>
        <w:keepLines w:val="0"/>
        <w:pageBreakBefore w:val="0"/>
        <w:widowControl w:val="0"/>
        <w:kinsoku/>
        <w:wordWrap/>
        <w:overflowPunct/>
        <w:topLinePunct w:val="0"/>
        <w:bidi w:val="0"/>
        <w:snapToGrid w:val="0"/>
        <w:spacing w:line="560" w:lineRule="exact"/>
        <w:ind w:firstLine="640" w:firstLineChars="200"/>
        <w:jc w:val="both"/>
        <w:textAlignment w:val="auto"/>
        <w:outlineLvl w:val="1"/>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3.技术评审：F2</w:t>
      </w:r>
      <w:r>
        <w:rPr>
          <w:rFonts w:hint="eastAsia" w:ascii="仿宋_GB2312" w:hAnsi="仿宋_GB2312" w:eastAsia="仿宋_GB2312" w:cs="仿宋_GB2312"/>
          <w:b w:val="0"/>
          <w:bCs w:val="0"/>
          <w:sz w:val="32"/>
          <w:szCs w:val="32"/>
        </w:rPr>
        <w:t>技术部分评分办法（满分90分）</w:t>
      </w:r>
    </w:p>
    <w:tbl>
      <w:tblPr>
        <w:tblStyle w:val="7"/>
        <w:tblW w:w="851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7"/>
        <w:gridCol w:w="1636"/>
        <w:gridCol w:w="58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1"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条款号</w:t>
            </w:r>
          </w:p>
        </w:tc>
        <w:tc>
          <w:tcPr>
            <w:tcW w:w="16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评分项目</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评分标准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5"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w:t>
            </w:r>
          </w:p>
        </w:tc>
        <w:tc>
          <w:tcPr>
            <w:tcW w:w="16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对本项目了解情况</w:t>
            </w:r>
            <w:r>
              <w:rPr>
                <w:rFonts w:hint="eastAsia" w:ascii="仿宋_GB2312" w:hAnsi="仿宋_GB2312" w:eastAsia="仿宋_GB2312" w:cs="仿宋_GB2312"/>
                <w:b w:val="0"/>
                <w:bCs w:val="0"/>
                <w:sz w:val="32"/>
                <w:szCs w:val="32"/>
              </w:rPr>
              <w:t>（满分</w:t>
            </w:r>
            <w:r>
              <w:rPr>
                <w:rFonts w:hint="eastAsia" w:ascii="仿宋_GB2312" w:hAnsi="仿宋_GB2312" w:eastAsia="仿宋_GB2312" w:cs="仿宋_GB2312"/>
                <w:b w:val="0"/>
                <w:bCs w:val="0"/>
                <w:sz w:val="32"/>
                <w:szCs w:val="32"/>
                <w:lang w:val="en-US" w:eastAsia="zh-CN"/>
              </w:rPr>
              <w:t>20</w:t>
            </w:r>
            <w:r>
              <w:rPr>
                <w:rFonts w:hint="eastAsia" w:ascii="仿宋_GB2312" w:hAnsi="仿宋_GB2312" w:eastAsia="仿宋_GB2312" w:cs="仿宋_GB2312"/>
                <w:b w:val="0"/>
                <w:bCs w:val="0"/>
                <w:sz w:val="32"/>
                <w:szCs w:val="32"/>
              </w:rPr>
              <w:t>分）</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（1）投标人对项目理解、目标判断清晰准确</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到位的</w:t>
            </w:r>
            <w:r>
              <w:rPr>
                <w:rFonts w:hint="eastAsia" w:ascii="仿宋_GB2312" w:hAnsi="仿宋_GB2312" w:eastAsia="仿宋_GB2312" w:cs="仿宋_GB2312"/>
                <w:b w:val="0"/>
                <w:bCs w:val="0"/>
                <w:sz w:val="32"/>
                <w:szCs w:val="32"/>
              </w:rPr>
              <w:t>得</w:t>
            </w:r>
            <w:r>
              <w:rPr>
                <w:rFonts w:hint="eastAsia" w:ascii="仿宋_GB2312" w:hAnsi="仿宋_GB2312" w:eastAsia="仿宋_GB2312" w:cs="仿宋_GB2312"/>
                <w:b w:val="0"/>
                <w:bCs w:val="0"/>
                <w:sz w:val="32"/>
                <w:szCs w:val="32"/>
                <w:lang w:val="en-US" w:eastAsia="zh-CN"/>
              </w:rPr>
              <w:t>15</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20</w:t>
            </w:r>
            <w:r>
              <w:rPr>
                <w:rFonts w:hint="eastAsia" w:ascii="仿宋_GB2312" w:hAnsi="仿宋_GB2312" w:eastAsia="仿宋_GB2312" w:cs="仿宋_GB2312"/>
                <w:b w:val="0"/>
                <w:bCs w:val="0"/>
                <w:sz w:val="32"/>
                <w:szCs w:val="32"/>
              </w:rPr>
              <w:t>分；</w:t>
            </w:r>
          </w:p>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（2）投标人对项目理解、目标判断清晰</w:t>
            </w:r>
            <w:r>
              <w:rPr>
                <w:rFonts w:hint="eastAsia" w:ascii="仿宋_GB2312" w:hAnsi="仿宋_GB2312" w:eastAsia="仿宋_GB2312" w:cs="仿宋_GB2312"/>
                <w:b w:val="0"/>
                <w:bCs w:val="0"/>
                <w:sz w:val="32"/>
                <w:szCs w:val="32"/>
                <w:lang w:val="en-US" w:eastAsia="zh-CN"/>
              </w:rPr>
              <w:t>较为</w:t>
            </w:r>
            <w:r>
              <w:rPr>
                <w:rFonts w:hint="eastAsia" w:ascii="仿宋_GB2312" w:hAnsi="仿宋_GB2312" w:eastAsia="仿宋_GB2312" w:cs="仿宋_GB2312"/>
                <w:b w:val="0"/>
                <w:bCs w:val="0"/>
                <w:sz w:val="32"/>
                <w:szCs w:val="32"/>
              </w:rPr>
              <w:t>准确</w:t>
            </w:r>
            <w:r>
              <w:rPr>
                <w:rFonts w:hint="eastAsia" w:ascii="仿宋_GB2312" w:hAnsi="仿宋_GB2312" w:eastAsia="仿宋_GB2312" w:cs="仿宋_GB2312"/>
                <w:b w:val="0"/>
                <w:bCs w:val="0"/>
                <w:sz w:val="32"/>
                <w:szCs w:val="32"/>
                <w:lang w:val="en-US" w:eastAsia="zh-CN"/>
              </w:rPr>
              <w:t>的</w:t>
            </w:r>
            <w:r>
              <w:rPr>
                <w:rFonts w:hint="eastAsia" w:ascii="仿宋_GB2312" w:hAnsi="仿宋_GB2312" w:eastAsia="仿宋_GB2312" w:cs="仿宋_GB2312"/>
                <w:b w:val="0"/>
                <w:bCs w:val="0"/>
                <w:sz w:val="32"/>
                <w:szCs w:val="32"/>
              </w:rPr>
              <w:t>得</w:t>
            </w: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14</w:t>
            </w:r>
            <w:r>
              <w:rPr>
                <w:rFonts w:hint="eastAsia" w:ascii="仿宋_GB2312" w:hAnsi="仿宋_GB2312" w:eastAsia="仿宋_GB2312" w:cs="仿宋_GB2312"/>
                <w:b w:val="0"/>
                <w:bCs w:val="0"/>
                <w:sz w:val="32"/>
                <w:szCs w:val="32"/>
              </w:rPr>
              <w:t>分</w:t>
            </w:r>
          </w:p>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（3）对项目理解、目标判断</w:t>
            </w:r>
            <w:r>
              <w:rPr>
                <w:rFonts w:hint="eastAsia" w:ascii="仿宋_GB2312" w:hAnsi="仿宋_GB2312" w:eastAsia="仿宋_GB2312" w:cs="仿宋_GB2312"/>
                <w:b w:val="0"/>
                <w:bCs w:val="0"/>
                <w:sz w:val="32"/>
                <w:szCs w:val="32"/>
                <w:lang w:val="en-US" w:eastAsia="zh-CN"/>
              </w:rPr>
              <w:t>不清晰</w:t>
            </w:r>
            <w:r>
              <w:rPr>
                <w:rFonts w:hint="eastAsia" w:ascii="仿宋_GB2312" w:hAnsi="仿宋_GB2312" w:eastAsia="仿宋_GB2312" w:cs="仿宋_GB2312"/>
                <w:b w:val="0"/>
                <w:bCs w:val="0"/>
                <w:sz w:val="32"/>
                <w:szCs w:val="32"/>
              </w:rPr>
              <w:t>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w:t>
            </w:r>
          </w:p>
        </w:tc>
        <w:tc>
          <w:tcPr>
            <w:tcW w:w="16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重难点简析及应对措施（满分</w:t>
            </w:r>
            <w:r>
              <w:rPr>
                <w:rFonts w:hint="eastAsia" w:ascii="仿宋_GB2312" w:hAnsi="仿宋_GB2312" w:eastAsia="仿宋_GB2312" w:cs="仿宋_GB2312"/>
                <w:b w:val="0"/>
                <w:bCs w:val="0"/>
                <w:sz w:val="32"/>
                <w:szCs w:val="32"/>
                <w:lang w:val="en-US" w:eastAsia="zh-CN"/>
              </w:rPr>
              <w:t>30</w:t>
            </w:r>
            <w:r>
              <w:rPr>
                <w:rFonts w:hint="eastAsia" w:ascii="仿宋_GB2312" w:hAnsi="仿宋_GB2312" w:eastAsia="仿宋_GB2312" w:cs="仿宋_GB2312"/>
                <w:b w:val="0"/>
                <w:bCs w:val="0"/>
                <w:sz w:val="32"/>
                <w:szCs w:val="32"/>
              </w:rPr>
              <w:t>）</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（1）投标人对项目重点的分析准确、合理，应对措施合理可行得</w:t>
            </w:r>
            <w:r>
              <w:rPr>
                <w:rFonts w:hint="eastAsia" w:ascii="仿宋_GB2312" w:hAnsi="仿宋_GB2312" w:eastAsia="仿宋_GB2312" w:cs="仿宋_GB2312"/>
                <w:b w:val="0"/>
                <w:bCs w:val="0"/>
                <w:sz w:val="32"/>
                <w:szCs w:val="32"/>
                <w:lang w:val="en-US" w:eastAsia="zh-CN"/>
              </w:rPr>
              <w:t>20</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30</w:t>
            </w:r>
            <w:r>
              <w:rPr>
                <w:rFonts w:hint="eastAsia" w:ascii="仿宋_GB2312" w:hAnsi="仿宋_GB2312" w:eastAsia="仿宋_GB2312" w:cs="仿宋_GB2312"/>
                <w:b w:val="0"/>
                <w:bCs w:val="0"/>
                <w:sz w:val="32"/>
                <w:szCs w:val="32"/>
              </w:rPr>
              <w:t>分；</w:t>
            </w:r>
          </w:p>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（2）投标人对项目重点的分析</w:t>
            </w:r>
            <w:r>
              <w:rPr>
                <w:rFonts w:hint="eastAsia" w:ascii="仿宋_GB2312" w:hAnsi="仿宋_GB2312" w:eastAsia="仿宋_GB2312" w:cs="仿宋_GB2312"/>
                <w:b w:val="0"/>
                <w:bCs w:val="0"/>
                <w:sz w:val="32"/>
                <w:szCs w:val="32"/>
                <w:lang w:val="en-US" w:eastAsia="zh-CN"/>
              </w:rPr>
              <w:t>较为</w:t>
            </w:r>
            <w:r>
              <w:rPr>
                <w:rFonts w:hint="eastAsia" w:ascii="仿宋_GB2312" w:hAnsi="仿宋_GB2312" w:eastAsia="仿宋_GB2312" w:cs="仿宋_GB2312"/>
                <w:b w:val="0"/>
                <w:bCs w:val="0"/>
                <w:sz w:val="32"/>
                <w:szCs w:val="32"/>
              </w:rPr>
              <w:t>准确、合理，应对措施</w:t>
            </w:r>
            <w:r>
              <w:rPr>
                <w:rFonts w:hint="eastAsia" w:ascii="仿宋_GB2312" w:hAnsi="仿宋_GB2312" w:eastAsia="仿宋_GB2312" w:cs="仿宋_GB2312"/>
                <w:b w:val="0"/>
                <w:bCs w:val="0"/>
                <w:sz w:val="32"/>
                <w:szCs w:val="32"/>
                <w:lang w:val="en-US" w:eastAsia="zh-CN"/>
              </w:rPr>
              <w:t>较为</w:t>
            </w:r>
            <w:r>
              <w:rPr>
                <w:rFonts w:hint="eastAsia" w:ascii="仿宋_GB2312" w:hAnsi="仿宋_GB2312" w:eastAsia="仿宋_GB2312" w:cs="仿宋_GB2312"/>
                <w:b w:val="0"/>
                <w:bCs w:val="0"/>
                <w:sz w:val="32"/>
                <w:szCs w:val="32"/>
              </w:rPr>
              <w:t>合理可行得</w:t>
            </w:r>
            <w:r>
              <w:rPr>
                <w:rFonts w:hint="eastAsia" w:ascii="仿宋_GB2312" w:hAnsi="仿宋_GB2312" w:eastAsia="仿宋_GB2312" w:cs="仿宋_GB2312"/>
                <w:b w:val="0"/>
                <w:bCs w:val="0"/>
                <w:sz w:val="32"/>
                <w:szCs w:val="32"/>
                <w:lang w:val="en-US" w:eastAsia="zh-CN"/>
              </w:rPr>
              <w:t>10</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val="en-US" w:eastAsia="zh-CN"/>
              </w:rPr>
              <w:t>19</w:t>
            </w:r>
            <w:r>
              <w:rPr>
                <w:rFonts w:hint="eastAsia" w:ascii="仿宋_GB2312" w:hAnsi="仿宋_GB2312" w:eastAsia="仿宋_GB2312" w:cs="仿宋_GB2312"/>
                <w:b w:val="0"/>
                <w:bCs w:val="0"/>
                <w:sz w:val="32"/>
                <w:szCs w:val="32"/>
              </w:rPr>
              <w:t>分；</w:t>
            </w:r>
          </w:p>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（3）投标人对项目重点的分析</w:t>
            </w:r>
            <w:r>
              <w:rPr>
                <w:rFonts w:hint="eastAsia" w:ascii="仿宋_GB2312" w:hAnsi="仿宋_GB2312" w:eastAsia="仿宋_GB2312" w:cs="仿宋_GB2312"/>
                <w:b w:val="0"/>
                <w:bCs w:val="0"/>
                <w:sz w:val="32"/>
                <w:szCs w:val="32"/>
                <w:lang w:val="en-US" w:eastAsia="zh-CN"/>
              </w:rPr>
              <w:t>不准确的不得分</w:t>
            </w:r>
            <w:r>
              <w:rPr>
                <w:rFonts w:hint="eastAsia" w:ascii="仿宋_GB2312" w:hAnsi="仿宋_GB2312" w:eastAsia="仿宋_GB2312" w:cs="仿宋_GB2312"/>
                <w:b w:val="0"/>
                <w:bCs w:val="0"/>
                <w:sz w:val="32"/>
                <w:szCs w:val="3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w:t>
            </w:r>
          </w:p>
        </w:tc>
        <w:tc>
          <w:tcPr>
            <w:tcW w:w="16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工作方案</w:t>
            </w:r>
            <w:r>
              <w:rPr>
                <w:rFonts w:hint="eastAsia" w:ascii="仿宋_GB2312" w:hAnsi="仿宋_GB2312" w:eastAsia="仿宋_GB2312" w:cs="仿宋_GB2312"/>
                <w:b w:val="0"/>
                <w:bCs w:val="0"/>
                <w:sz w:val="32"/>
                <w:szCs w:val="32"/>
                <w:lang w:val="en-US" w:eastAsia="zh-CN"/>
              </w:rPr>
              <w:t>编制情况</w:t>
            </w:r>
            <w:r>
              <w:rPr>
                <w:rFonts w:hint="eastAsia" w:ascii="仿宋_GB2312" w:hAnsi="仿宋_GB2312" w:eastAsia="仿宋_GB2312" w:cs="仿宋_GB2312"/>
                <w:b w:val="0"/>
                <w:bCs w:val="0"/>
                <w:sz w:val="32"/>
                <w:szCs w:val="32"/>
              </w:rPr>
              <w:t>（满分</w:t>
            </w:r>
            <w:r>
              <w:rPr>
                <w:rFonts w:hint="eastAsia" w:ascii="仿宋_GB2312" w:hAnsi="仿宋_GB2312" w:eastAsia="仿宋_GB2312" w:cs="仿宋_GB2312"/>
                <w:b w:val="0"/>
                <w:bCs w:val="0"/>
                <w:sz w:val="32"/>
                <w:szCs w:val="32"/>
                <w:lang w:val="en-US" w:eastAsia="zh-CN"/>
              </w:rPr>
              <w:t>30</w:t>
            </w:r>
            <w:r>
              <w:rPr>
                <w:rFonts w:hint="eastAsia" w:ascii="仿宋_GB2312" w:hAnsi="仿宋_GB2312" w:eastAsia="仿宋_GB2312" w:cs="仿宋_GB2312"/>
                <w:b w:val="0"/>
                <w:bCs w:val="0"/>
                <w:sz w:val="32"/>
                <w:szCs w:val="32"/>
              </w:rPr>
              <w:t>分）</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（1）投标人对进度安排、人员结构合理，工期、质量保证措施有针对性，有成功实施经验等的得</w:t>
            </w:r>
            <w:r>
              <w:rPr>
                <w:rFonts w:hint="eastAsia" w:ascii="仿宋_GB2312" w:hAnsi="仿宋_GB2312" w:eastAsia="仿宋_GB2312" w:cs="仿宋_GB2312"/>
                <w:b w:val="0"/>
                <w:bCs w:val="0"/>
                <w:sz w:val="32"/>
                <w:szCs w:val="32"/>
                <w:lang w:val="en-US" w:eastAsia="zh-CN"/>
              </w:rPr>
              <w:t>2</w:t>
            </w:r>
            <w:r>
              <w:rPr>
                <w:rFonts w:hint="eastAsia" w:ascii="仿宋_GB2312" w:hAnsi="仿宋_GB2312" w:eastAsia="仿宋_GB2312" w:cs="仿宋_GB2312"/>
                <w:b w:val="0"/>
                <w:bCs w:val="0"/>
                <w:sz w:val="32"/>
                <w:szCs w:val="32"/>
              </w:rPr>
              <w:t>0-</w:t>
            </w:r>
            <w:r>
              <w:rPr>
                <w:rFonts w:hint="eastAsia" w:ascii="仿宋_GB2312" w:hAnsi="仿宋_GB2312" w:eastAsia="仿宋_GB2312" w:cs="仿宋_GB2312"/>
                <w:b w:val="0"/>
                <w:bCs w:val="0"/>
                <w:sz w:val="32"/>
                <w:szCs w:val="32"/>
                <w:lang w:val="en-US" w:eastAsia="zh-CN"/>
              </w:rPr>
              <w:t>30</w:t>
            </w:r>
            <w:r>
              <w:rPr>
                <w:rFonts w:hint="eastAsia" w:ascii="仿宋_GB2312" w:hAnsi="仿宋_GB2312" w:eastAsia="仿宋_GB2312" w:cs="仿宋_GB2312"/>
                <w:b w:val="0"/>
                <w:bCs w:val="0"/>
                <w:sz w:val="32"/>
                <w:szCs w:val="32"/>
              </w:rPr>
              <w:t>分；</w:t>
            </w:r>
          </w:p>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（2）投标人对进度安排、人员结构</w:t>
            </w:r>
            <w:r>
              <w:rPr>
                <w:rFonts w:hint="eastAsia" w:ascii="仿宋_GB2312" w:hAnsi="仿宋_GB2312" w:eastAsia="仿宋_GB2312" w:cs="仿宋_GB2312"/>
                <w:b w:val="0"/>
                <w:bCs w:val="0"/>
                <w:sz w:val="32"/>
                <w:szCs w:val="32"/>
                <w:lang w:val="en-US" w:eastAsia="zh-CN"/>
              </w:rPr>
              <w:t>较为</w:t>
            </w:r>
            <w:r>
              <w:rPr>
                <w:rFonts w:hint="eastAsia" w:ascii="仿宋_GB2312" w:hAnsi="仿宋_GB2312" w:eastAsia="仿宋_GB2312" w:cs="仿宋_GB2312"/>
                <w:b w:val="0"/>
                <w:bCs w:val="0"/>
                <w:sz w:val="32"/>
                <w:szCs w:val="32"/>
              </w:rPr>
              <w:t>合理，工期、质量保证措施</w:t>
            </w:r>
            <w:r>
              <w:rPr>
                <w:rFonts w:hint="eastAsia" w:ascii="仿宋_GB2312" w:hAnsi="仿宋_GB2312" w:eastAsia="仿宋_GB2312" w:cs="仿宋_GB2312"/>
                <w:b w:val="0"/>
                <w:bCs w:val="0"/>
                <w:sz w:val="32"/>
                <w:szCs w:val="32"/>
                <w:lang w:val="en-US" w:eastAsia="zh-CN"/>
              </w:rPr>
              <w:t>较为</w:t>
            </w:r>
            <w:r>
              <w:rPr>
                <w:rFonts w:hint="eastAsia" w:ascii="仿宋_GB2312" w:hAnsi="仿宋_GB2312" w:eastAsia="仿宋_GB2312" w:cs="仿宋_GB2312"/>
                <w:b w:val="0"/>
                <w:bCs w:val="0"/>
                <w:sz w:val="32"/>
                <w:szCs w:val="32"/>
              </w:rPr>
              <w:t>有针对性的得</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rPr>
              <w:t>0-</w:t>
            </w:r>
            <w:r>
              <w:rPr>
                <w:rFonts w:hint="eastAsia" w:ascii="仿宋_GB2312" w:hAnsi="仿宋_GB2312" w:eastAsia="仿宋_GB2312" w:cs="仿宋_GB2312"/>
                <w:b w:val="0"/>
                <w:bCs w:val="0"/>
                <w:sz w:val="32"/>
                <w:szCs w:val="32"/>
                <w:lang w:val="en-US" w:eastAsia="zh-CN"/>
              </w:rPr>
              <w:t>19</w:t>
            </w:r>
            <w:r>
              <w:rPr>
                <w:rFonts w:hint="eastAsia" w:ascii="仿宋_GB2312" w:hAnsi="仿宋_GB2312" w:eastAsia="仿宋_GB2312" w:cs="仿宋_GB2312"/>
                <w:b w:val="0"/>
                <w:bCs w:val="0"/>
                <w:sz w:val="32"/>
                <w:szCs w:val="32"/>
              </w:rPr>
              <w:t>分；</w:t>
            </w:r>
          </w:p>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rPr>
              <w:t>（3）投标人对进度安排、人员结构</w:t>
            </w:r>
            <w:r>
              <w:rPr>
                <w:rFonts w:hint="eastAsia" w:ascii="仿宋_GB2312" w:hAnsi="仿宋_GB2312" w:eastAsia="仿宋_GB2312" w:cs="仿宋_GB2312"/>
                <w:b w:val="0"/>
                <w:bCs w:val="0"/>
                <w:sz w:val="32"/>
                <w:szCs w:val="32"/>
                <w:lang w:val="en-US" w:eastAsia="zh-CN"/>
              </w:rPr>
              <w:t>不</w:t>
            </w:r>
            <w:r>
              <w:rPr>
                <w:rFonts w:hint="eastAsia" w:ascii="仿宋_GB2312" w:hAnsi="仿宋_GB2312" w:eastAsia="仿宋_GB2312" w:cs="仿宋_GB2312"/>
                <w:b w:val="0"/>
                <w:bCs w:val="0"/>
                <w:sz w:val="32"/>
                <w:szCs w:val="32"/>
              </w:rPr>
              <w:t>合理，工期、质量保证措施</w:t>
            </w:r>
            <w:r>
              <w:rPr>
                <w:rFonts w:hint="eastAsia" w:ascii="仿宋_GB2312" w:hAnsi="仿宋_GB2312" w:eastAsia="仿宋_GB2312" w:cs="仿宋_GB2312"/>
                <w:b w:val="0"/>
                <w:bCs w:val="0"/>
                <w:sz w:val="32"/>
                <w:szCs w:val="32"/>
                <w:lang w:val="en-US" w:eastAsia="zh-CN"/>
              </w:rPr>
              <w:t>没</w:t>
            </w:r>
            <w:r>
              <w:rPr>
                <w:rFonts w:hint="eastAsia" w:ascii="仿宋_GB2312" w:hAnsi="仿宋_GB2312" w:eastAsia="仿宋_GB2312" w:cs="仿宋_GB2312"/>
                <w:b w:val="0"/>
                <w:bCs w:val="0"/>
                <w:sz w:val="32"/>
                <w:szCs w:val="32"/>
              </w:rPr>
              <w:t>有针对性</w:t>
            </w:r>
            <w:r>
              <w:rPr>
                <w:rFonts w:hint="eastAsia" w:ascii="仿宋_GB2312" w:hAnsi="仿宋_GB2312" w:eastAsia="仿宋_GB2312" w:cs="仿宋_GB2312"/>
                <w:b w:val="0"/>
                <w:bCs w:val="0"/>
                <w:sz w:val="32"/>
                <w:szCs w:val="32"/>
                <w:lang w:val="en-US" w:eastAsia="zh-CN"/>
              </w:rPr>
              <w:t>的不得分</w:t>
            </w:r>
            <w:r>
              <w:rPr>
                <w:rFonts w:hint="eastAsia" w:ascii="仿宋_GB2312" w:hAnsi="仿宋_GB2312" w:eastAsia="仿宋_GB2312" w:cs="仿宋_GB2312"/>
                <w:b w:val="0"/>
                <w:bCs w:val="0"/>
                <w:sz w:val="32"/>
                <w:szCs w:val="32"/>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w:t>
            </w:r>
          </w:p>
        </w:tc>
        <w:tc>
          <w:tcPr>
            <w:tcW w:w="16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业绩（</w:t>
            </w:r>
            <w:r>
              <w:rPr>
                <w:rFonts w:hint="eastAsia" w:ascii="仿宋_GB2312" w:hAnsi="仿宋_GB2312" w:eastAsia="仿宋_GB2312" w:cs="仿宋_GB2312"/>
                <w:b w:val="0"/>
                <w:bCs w:val="0"/>
                <w:sz w:val="32"/>
                <w:szCs w:val="32"/>
                <w:lang w:eastAsia="zh-CN"/>
              </w:rPr>
              <w:t>满分</w:t>
            </w:r>
            <w:r>
              <w:rPr>
                <w:rFonts w:hint="eastAsia" w:ascii="仿宋_GB2312" w:hAnsi="仿宋_GB2312" w:eastAsia="仿宋_GB2312" w:cs="仿宋_GB2312"/>
                <w:b w:val="0"/>
                <w:bCs w:val="0"/>
                <w:sz w:val="32"/>
                <w:szCs w:val="32"/>
              </w:rPr>
              <w:t>15分）</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提供类似业绩一个得基本分</w:t>
            </w:r>
            <w:r>
              <w:rPr>
                <w:rFonts w:hint="eastAsia" w:ascii="仿宋_GB2312" w:hAnsi="仿宋_GB2312" w:eastAsia="仿宋_GB2312" w:cs="仿宋_GB2312"/>
                <w:b w:val="0"/>
                <w:bCs w:val="0"/>
                <w:sz w:val="32"/>
                <w:szCs w:val="32"/>
                <w:lang w:val="en-US" w:eastAsia="zh-CN"/>
              </w:rPr>
              <w:t>6</w:t>
            </w:r>
            <w:r>
              <w:rPr>
                <w:rFonts w:hint="eastAsia" w:ascii="仿宋_GB2312" w:hAnsi="仿宋_GB2312" w:eastAsia="仿宋_GB2312" w:cs="仿宋_GB2312"/>
                <w:b w:val="0"/>
                <w:bCs w:val="0"/>
                <w:sz w:val="32"/>
                <w:szCs w:val="32"/>
              </w:rPr>
              <w:t>分，每增加一个得</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分，满分15分。</w:t>
            </w:r>
          </w:p>
          <w:p>
            <w:pPr>
              <w:pStyle w:val="9"/>
              <w:keepNext w:val="0"/>
              <w:keepLines w:val="0"/>
              <w:pageBreakBefore w:val="0"/>
              <w:widowControl w:val="0"/>
              <w:kinsoku/>
              <w:wordWrap/>
              <w:overflowPunct/>
              <w:topLinePunct w:val="0"/>
              <w:bidi w:val="0"/>
              <w:spacing w:after="0" w:line="560" w:lineRule="exact"/>
              <w:ind w:firstLine="0" w:firstLineChars="0"/>
              <w:jc w:val="both"/>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注：业绩证明材料以中标通知书或合同协议书为准。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0" w:hRule="atLeast"/>
          <w:jc w:val="center"/>
        </w:trPr>
        <w:tc>
          <w:tcPr>
            <w:tcW w:w="99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5</w:t>
            </w:r>
          </w:p>
        </w:tc>
        <w:tc>
          <w:tcPr>
            <w:tcW w:w="163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bidi w:val="0"/>
              <w:spacing w:line="560" w:lineRule="exact"/>
              <w:ind w:firstLine="0" w:firstLineChars="0"/>
              <w:jc w:val="center"/>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val="en-US" w:eastAsia="zh-CN"/>
              </w:rPr>
              <w:t>售后服务计划</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 w:val="0"/>
                <w:bCs w:val="0"/>
                <w:sz w:val="32"/>
                <w:szCs w:val="32"/>
                <w:lang w:eastAsia="zh-CN"/>
              </w:rPr>
              <w:t>满分</w:t>
            </w:r>
            <w:r>
              <w:rPr>
                <w:rFonts w:hint="eastAsia" w:ascii="仿宋_GB2312" w:hAnsi="仿宋_GB2312" w:eastAsia="仿宋_GB2312" w:cs="仿宋_GB2312"/>
                <w:b w:val="0"/>
                <w:bCs w:val="0"/>
                <w:sz w:val="32"/>
                <w:szCs w:val="32"/>
                <w:lang w:val="en-US" w:eastAsia="zh-CN"/>
              </w:rPr>
              <w:t>5</w:t>
            </w:r>
            <w:r>
              <w:rPr>
                <w:rFonts w:hint="eastAsia" w:ascii="仿宋_GB2312" w:hAnsi="仿宋_GB2312" w:eastAsia="仿宋_GB2312" w:cs="仿宋_GB2312"/>
                <w:b w:val="0"/>
                <w:bCs w:val="0"/>
                <w:sz w:val="32"/>
                <w:szCs w:val="32"/>
              </w:rPr>
              <w:t>分）</w:t>
            </w:r>
          </w:p>
        </w:tc>
        <w:tc>
          <w:tcPr>
            <w:tcW w:w="5886" w:type="dxa"/>
            <w:tcBorders>
              <w:top w:val="single" w:color="auto" w:sz="4" w:space="0"/>
              <w:left w:val="single" w:color="auto" w:sz="4" w:space="0"/>
              <w:bottom w:val="single" w:color="auto" w:sz="4" w:space="0"/>
              <w:right w:val="single" w:color="auto" w:sz="4" w:space="0"/>
            </w:tcBorders>
            <w:noWrap w:val="0"/>
            <w:vAlign w:val="center"/>
          </w:tcPr>
          <w:p>
            <w:pPr>
              <w:pStyle w:val="9"/>
              <w:keepNext w:val="0"/>
              <w:keepLines w:val="0"/>
              <w:pageBreakBefore w:val="0"/>
              <w:widowControl w:val="0"/>
              <w:kinsoku/>
              <w:wordWrap/>
              <w:overflowPunct/>
              <w:topLinePunct w:val="0"/>
              <w:bidi w:val="0"/>
              <w:spacing w:after="0" w:line="560" w:lineRule="exact"/>
              <w:ind w:firstLine="0" w:firstLineChars="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（1）拟定的今后服务计划有针对性、可操作性的得1-5分；</w:t>
            </w:r>
          </w:p>
          <w:p>
            <w:pPr>
              <w:pStyle w:val="9"/>
              <w:keepNext w:val="0"/>
              <w:keepLines w:val="0"/>
              <w:pageBreakBefore w:val="0"/>
              <w:widowControl w:val="0"/>
              <w:kinsoku/>
              <w:wordWrap/>
              <w:overflowPunct/>
              <w:topLinePunct w:val="0"/>
              <w:bidi w:val="0"/>
              <w:spacing w:after="0" w:line="560" w:lineRule="exact"/>
              <w:ind w:firstLine="0" w:firstLineChars="0"/>
              <w:jc w:val="both"/>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（2）为拟定售后服务计划的不得分。</w:t>
            </w:r>
          </w:p>
        </w:tc>
      </w:tr>
    </w:tbl>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outlineLvl w:val="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lang w:eastAsia="zh-CN"/>
        </w:rPr>
        <w:t>六、</w:t>
      </w:r>
      <w:r>
        <w:rPr>
          <w:rFonts w:hint="eastAsia" w:ascii="仿宋_GB2312" w:hAnsi="仿宋_GB2312" w:eastAsia="仿宋_GB2312" w:cs="仿宋_GB2312"/>
          <w:b w:val="0"/>
          <w:bCs w:val="0"/>
          <w:sz w:val="32"/>
          <w:szCs w:val="32"/>
        </w:rPr>
        <w:t>得分汇总</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1.评审小组应首先对各供应商响应文件进行评审，写出书面意见并按文件规定分值评分。</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2.除价格得分外，其余部分由各评委自主评分并签字确认。</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3.统分原则：计算评委打分的算术平均值为供应商的该项评分因素的得分，报价得分除外(保留小数点后两位)。</w:t>
      </w:r>
    </w:p>
    <w:p>
      <w:pPr>
        <w:pStyle w:val="5"/>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4.得分汇总：各项评分因素得分的总和即为供应商最后得分。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kzidenz Grotesk BQ">
    <w:altName w:val="AMGDT"/>
    <w:panose1 w:val="00000000000000000000"/>
    <w:charset w:val="00"/>
    <w:family w:val="swiss"/>
    <w:pitch w:val="default"/>
    <w:sig w:usb0="00000000"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方正仿宋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AMGDT">
    <w:panose1 w:val="02000400000000000000"/>
    <w:charset w:val="00"/>
    <w:family w:val="auto"/>
    <w:pitch w:val="default"/>
    <w:sig w:usb0="80000003" w:usb1="1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VmNjUzOWQ3ZTc1ZjIyZDM1ZjM3NzAzOGNhYTE4NjUifQ=="/>
  </w:docVars>
  <w:rsids>
    <w:rsidRoot w:val="783D3A40"/>
    <w:rsid w:val="051A3997"/>
    <w:rsid w:val="058517C8"/>
    <w:rsid w:val="0D75168C"/>
    <w:rsid w:val="19102125"/>
    <w:rsid w:val="19364C90"/>
    <w:rsid w:val="1D274406"/>
    <w:rsid w:val="1EAE5450"/>
    <w:rsid w:val="1FEF5FE7"/>
    <w:rsid w:val="2EF47ADA"/>
    <w:rsid w:val="32DD268A"/>
    <w:rsid w:val="36683636"/>
    <w:rsid w:val="39982257"/>
    <w:rsid w:val="3A6D6CBF"/>
    <w:rsid w:val="3FBB6AA5"/>
    <w:rsid w:val="4383682F"/>
    <w:rsid w:val="45D94923"/>
    <w:rsid w:val="4A3862E1"/>
    <w:rsid w:val="4F140241"/>
    <w:rsid w:val="4FBFACE0"/>
    <w:rsid w:val="57F70FA3"/>
    <w:rsid w:val="5D77A56A"/>
    <w:rsid w:val="5FAB141B"/>
    <w:rsid w:val="60BB49EA"/>
    <w:rsid w:val="613123F4"/>
    <w:rsid w:val="63A80B5B"/>
    <w:rsid w:val="67A72459"/>
    <w:rsid w:val="6C6F2A7F"/>
    <w:rsid w:val="6F5B7E3A"/>
    <w:rsid w:val="75B16714"/>
    <w:rsid w:val="76CB6DD5"/>
    <w:rsid w:val="77FFFB48"/>
    <w:rsid w:val="783D3A40"/>
    <w:rsid w:val="797B0C6B"/>
    <w:rsid w:val="7AFF2CE3"/>
    <w:rsid w:val="7B9E0368"/>
    <w:rsid w:val="7BD945B1"/>
    <w:rsid w:val="7EFF1873"/>
    <w:rsid w:val="B5BEA23F"/>
    <w:rsid w:val="BE5B594D"/>
    <w:rsid w:val="F9F37D6F"/>
    <w:rsid w:val="FBF1E2C4"/>
    <w:rsid w:val="FCF6FBE1"/>
    <w:rsid w:val="FD6FE1E4"/>
    <w:rsid w:val="FFB85F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宋体" w:cs="Times New Roman"/>
      <w:sz w:val="21"/>
      <w:szCs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spacing w:after="200" w:line="276" w:lineRule="auto"/>
    </w:pPr>
    <w:rPr>
      <w:rFonts w:ascii="Akzidenz Grotesk BQ" w:hAnsi="Akzidenz Grotesk BQ" w:eastAsia="宋体" w:cs="Akzidenz Grotesk BQ"/>
      <w:color w:val="000000"/>
      <w:sz w:val="24"/>
      <w:szCs w:val="24"/>
      <w:lang w:val="en-US" w:eastAsia="zh-CN" w:bidi="ar-SA"/>
    </w:rPr>
  </w:style>
  <w:style w:type="paragraph" w:styleId="3">
    <w:name w:val="Body Text"/>
    <w:basedOn w:val="1"/>
    <w:next w:val="4"/>
    <w:qFormat/>
    <w:uiPriority w:val="0"/>
    <w:pPr>
      <w:spacing w:after="120" w:afterLines="0"/>
    </w:pPr>
  </w:style>
  <w:style w:type="paragraph" w:styleId="4">
    <w:name w:val="Title"/>
    <w:basedOn w:val="1"/>
    <w:next w:val="1"/>
    <w:qFormat/>
    <w:uiPriority w:val="0"/>
    <w:pPr>
      <w:spacing w:before="240" w:after="60"/>
      <w:jc w:val="center"/>
      <w:outlineLvl w:val="0"/>
    </w:pPr>
    <w:rPr>
      <w:rFonts w:ascii="Cambria" w:hAnsi="Cambria"/>
      <w:b/>
      <w:bCs/>
      <w:sz w:val="32"/>
      <w:szCs w:val="32"/>
      <w:lang w:val="zh-CN" w:eastAsia="zh-CN"/>
    </w:rPr>
  </w:style>
  <w:style w:type="paragraph" w:styleId="5">
    <w:name w:val="Body Text Indent"/>
    <w:basedOn w:val="1"/>
    <w:unhideWhenUsed/>
    <w:qFormat/>
    <w:uiPriority w:val="99"/>
    <w:pPr>
      <w:spacing w:line="460" w:lineRule="exact"/>
      <w:ind w:firstLine="510"/>
    </w:pPr>
    <w:rPr>
      <w:rFonts w:ascii="Calibri" w:hAnsi="Calibri"/>
      <w:sz w:val="20"/>
    </w:rPr>
  </w:style>
  <w:style w:type="paragraph" w:styleId="6">
    <w:name w:val="Plain Text"/>
    <w:basedOn w:val="1"/>
    <w:next w:val="1"/>
    <w:unhideWhenUsed/>
    <w:qFormat/>
    <w:uiPriority w:val="0"/>
    <w:pPr>
      <w:widowControl w:val="0"/>
      <w:jc w:val="both"/>
    </w:pPr>
    <w:rPr>
      <w:rFonts w:ascii="宋体"/>
      <w:kern w:val="2"/>
      <w:szCs w:val="20"/>
    </w:rPr>
  </w:style>
  <w:style w:type="paragraph" w:customStyle="1" w:styleId="9">
    <w:name w:val="BodyText"/>
    <w:basedOn w:val="1"/>
    <w:qFormat/>
    <w:uiPriority w:val="0"/>
    <w:pPr>
      <w:spacing w:after="120"/>
      <w:textAlignment w:val="baseline"/>
    </w:pPr>
  </w:style>
  <w:style w:type="paragraph" w:customStyle="1" w:styleId="10">
    <w:name w:val="列出段落1"/>
    <w:basedOn w:val="1"/>
    <w:qFormat/>
    <w:uiPriority w:val="0"/>
    <w:pPr>
      <w:spacing w:before="117"/>
      <w:ind w:left="143" w:firstLine="4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2023-07-19T08:42:00Z</dcterms:created>
  <dc:creator>江家杰</dc:creator>
  <cp:lastModifiedBy>城建科</cp:lastModifiedBy>
  <dcterms:modified xsi:type="dcterms:W3CDTF">2023-08-22T07:56:46Z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6E7A15451203413991EC63DE01C8601E_11</vt:lpwstr>
  </property>
</Properties>
</file>