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吴家营街道办事处</w:t>
      </w:r>
    </w:p>
    <w:p>
      <w:pPr>
        <w:spacing w:line="560" w:lineRule="exact"/>
        <w:jc w:val="center"/>
        <w:rPr>
          <w:rFonts w:ascii="方正小标宋_GBK" w:eastAsia="方正小标宋_GBK"/>
          <w:sz w:val="44"/>
          <w:szCs w:val="44"/>
        </w:rPr>
      </w:pPr>
      <w:r>
        <w:rPr>
          <w:rFonts w:hint="eastAsia" w:ascii="方正小标宋简体" w:eastAsia="方正小标宋简体"/>
          <w:sz w:val="44"/>
          <w:szCs w:val="44"/>
        </w:rPr>
        <w:t>关于党建资金项目支出绩效评价报告</w:t>
      </w:r>
      <w:r>
        <w:rPr>
          <w:rFonts w:ascii="方正小标宋_GBK" w:eastAsia="方正小标宋_GBK"/>
          <w:sz w:val="44"/>
          <w:szCs w:val="44"/>
        </w:rPr>
        <w:t xml:space="preserve"> </w:t>
      </w:r>
    </w:p>
    <w:p>
      <w:pPr>
        <w:spacing w:line="560" w:lineRule="exact"/>
        <w:rPr>
          <w:rFonts w:ascii="黑体" w:eastAsia="黑体"/>
          <w:szCs w:val="32"/>
        </w:rPr>
      </w:pPr>
      <w:r>
        <w:rPr>
          <w:rFonts w:hint="eastAsia" w:ascii="黑体" w:eastAsia="黑体"/>
          <w:szCs w:val="32"/>
        </w:rPr>
        <w:t>　　</w:t>
      </w:r>
    </w:p>
    <w:p>
      <w:pPr>
        <w:spacing w:line="560" w:lineRule="exact"/>
        <w:rPr>
          <w:rFonts w:ascii="黑体" w:eastAsia="黑体"/>
          <w:szCs w:val="32"/>
        </w:rPr>
      </w:pPr>
      <w:r>
        <w:rPr>
          <w:rFonts w:hint="eastAsia" w:ascii="黑体" w:eastAsia="黑体"/>
          <w:szCs w:val="32"/>
        </w:rPr>
        <w:t>　　一、基本情况</w:t>
      </w:r>
    </w:p>
    <w:p>
      <w:pPr>
        <w:topLinePunct/>
        <w:spacing w:line="560" w:lineRule="exact"/>
        <w:ind w:firstLine="594" w:firstLineChars="200"/>
        <w:rPr>
          <w:rFonts w:ascii="楷体_GB2312" w:eastAsia="楷体_GB2312"/>
          <w:szCs w:val="32"/>
        </w:rPr>
      </w:pPr>
      <w:r>
        <w:rPr>
          <w:rFonts w:hint="eastAsia" w:ascii="楷体_GB2312" w:eastAsia="楷体_GB2312"/>
          <w:szCs w:val="32"/>
        </w:rPr>
        <w:t>（一）项目概况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94" w:firstLineChars="200"/>
        <w:textAlignment w:val="auto"/>
        <w:rPr>
          <w:rFonts w:hint="eastAsia" w:ascii="仿宋_GB2312" w:hAnsi="仿宋_GB2312" w:eastAsia="仿宋_GB2312" w:cs="仿宋_GB2312"/>
          <w:b w:val="0"/>
          <w:bCs w:val="0"/>
          <w:szCs w:val="32"/>
        </w:rPr>
      </w:pPr>
      <w:r>
        <w:rPr>
          <w:rFonts w:ascii="仿宋_GB2312" w:hAnsi="Times New Roman"/>
          <w:color w:val="auto"/>
          <w:kern w:val="0"/>
          <w:szCs w:val="32"/>
        </w:rPr>
        <w:t>20</w:t>
      </w:r>
      <w:r>
        <w:rPr>
          <w:rFonts w:hint="eastAsia" w:ascii="仿宋_GB2312" w:hAnsi="Times New Roman"/>
          <w:color w:val="auto"/>
          <w:kern w:val="0"/>
          <w:szCs w:val="32"/>
        </w:rPr>
        <w:t>2</w:t>
      </w:r>
      <w:r>
        <w:rPr>
          <w:rFonts w:hint="eastAsia" w:ascii="仿宋_GB2312" w:hAnsi="Times New Roman"/>
          <w:color w:val="auto"/>
          <w:kern w:val="0"/>
          <w:szCs w:val="32"/>
          <w:lang w:val="en-US" w:eastAsia="zh-CN"/>
        </w:rPr>
        <w:t>1</w:t>
      </w:r>
      <w:r>
        <w:rPr>
          <w:rFonts w:hint="eastAsia" w:ascii="仿宋_GB2312" w:hAnsi="Times New Roman"/>
          <w:color w:val="auto"/>
          <w:kern w:val="0"/>
          <w:szCs w:val="32"/>
        </w:rPr>
        <w:t>年</w:t>
      </w:r>
      <w:r>
        <w:rPr>
          <w:rFonts w:hint="eastAsia" w:ascii="仿宋_GB2312"/>
          <w:color w:val="auto"/>
          <w:kern w:val="0"/>
          <w:szCs w:val="32"/>
        </w:rPr>
        <w:t>，吴家营街道切实抓实抓牢“基层党建创新提质年”各项任务目标，</w:t>
      </w:r>
      <w:r>
        <w:rPr>
          <w:rFonts w:hint="eastAsia" w:ascii="仿宋_GB2312" w:hAnsi="仿宋_GB2312"/>
          <w:color w:val="auto"/>
          <w:szCs w:val="32"/>
        </w:rPr>
        <w:t>深化</w:t>
      </w:r>
      <w:r>
        <w:rPr>
          <w:rFonts w:hint="eastAsia" w:ascii="仿宋_GB2312"/>
          <w:color w:val="auto"/>
          <w:szCs w:val="32"/>
        </w:rPr>
        <w:t>“</w:t>
      </w:r>
      <w:r>
        <w:rPr>
          <w:rFonts w:hint="eastAsia" w:ascii="仿宋_GB2312" w:hAnsi="仿宋_GB2312"/>
          <w:color w:val="auto"/>
          <w:szCs w:val="32"/>
        </w:rPr>
        <w:t>两学一做</w:t>
      </w:r>
      <w:r>
        <w:rPr>
          <w:rFonts w:hint="eastAsia" w:ascii="仿宋_GB2312"/>
          <w:color w:val="auto"/>
          <w:szCs w:val="32"/>
        </w:rPr>
        <w:t>”</w:t>
      </w:r>
      <w:r>
        <w:rPr>
          <w:rFonts w:hint="eastAsia" w:ascii="仿宋_GB2312" w:hAnsi="仿宋_GB2312"/>
          <w:color w:val="auto"/>
          <w:szCs w:val="32"/>
        </w:rPr>
        <w:t>学习教育常态化制度化，全面开展“不忘初心、牢记使命”主题教育，对标对表实施支部规范化建设，聚焦主业、精准施策，</w:t>
      </w:r>
      <w:r>
        <w:rPr>
          <w:rFonts w:hint="eastAsia" w:ascii="仿宋_GB2312" w:hAnsi="Times New Roman"/>
          <w:color w:val="auto"/>
          <w:szCs w:val="32"/>
        </w:rPr>
        <w:t>深入实施“村改居”社区党建引领发展工程，发挥社区党组织核心地位，着力解决村改居社区党组织干部队伍结构不合理，年轻干部少，党组织服务功能不强，转型升级不快等问题</w:t>
      </w:r>
      <w:r>
        <w:rPr>
          <w:rFonts w:hint="eastAsia" w:ascii="仿宋_GB2312" w:hAnsi="仿宋_GB2312" w:eastAsia="仿宋_GB2312" w:cs="仿宋_GB2312"/>
          <w:b w:val="0"/>
          <w:bCs w:val="0"/>
          <w:color w:val="auto"/>
          <w:szCs w:val="32"/>
        </w:rPr>
        <w:t>。</w:t>
      </w:r>
      <w:r>
        <w:rPr>
          <w:rFonts w:hint="eastAsia" w:ascii="仿宋_GB2312" w:hAnsi="仿宋_GB2312" w:eastAsia="仿宋_GB2312" w:cs="仿宋_GB2312"/>
          <w:b w:val="0"/>
          <w:bCs w:val="0"/>
          <w:color w:val="auto"/>
          <w:kern w:val="0"/>
          <w:sz w:val="32"/>
          <w:lang w:val="en-US" w:eastAsia="zh-CN"/>
        </w:rPr>
        <w:t>一是加强学习宣传，开展7期理论学习中心组，组织观看“云岭先锋”夜校节</w:t>
      </w:r>
      <w:r>
        <w:rPr>
          <w:rFonts w:hint="eastAsia" w:ascii="仿宋_GB2312" w:hAnsi="仿宋_GB2312" w:eastAsia="仿宋_GB2312" w:cs="仿宋_GB2312"/>
          <w:b w:val="0"/>
          <w:bCs w:val="0"/>
          <w:color w:val="auto"/>
          <w:kern w:val="0"/>
          <w:sz w:val="32"/>
          <w:highlight w:val="none"/>
          <w:lang w:val="en-US" w:eastAsia="zh-CN"/>
        </w:rPr>
        <w:t>目9期、农村党员冬春训2期，</w:t>
      </w:r>
      <w:r>
        <w:rPr>
          <w:rStyle w:val="18"/>
          <w:rFonts w:hint="eastAsia" w:ascii="仿宋_GB2312" w:hAnsi="仿宋_GB2312" w:eastAsia="仿宋_GB2312" w:cs="仿宋_GB2312"/>
          <w:b w:val="0"/>
          <w:bCs w:val="0"/>
          <w:color w:val="auto"/>
          <w:spacing w:val="0"/>
          <w:w w:val="100"/>
          <w:kern w:val="0"/>
          <w:highlight w:val="none"/>
          <w:lang w:val="en-US" w:eastAsia="zh-CN"/>
        </w:rPr>
        <w:t>拍摄《党龄》《新时代下的老兵精神》等党员教育宣传片4部；二是抓牢软弱涣散党组织整顿。</w:t>
      </w:r>
      <w:r>
        <w:rPr>
          <w:rFonts w:hint="eastAsia" w:ascii="仿宋_GB2312" w:hAnsi="仿宋_GB2312" w:eastAsia="仿宋_GB2312" w:cs="仿宋_GB2312"/>
          <w:b w:val="0"/>
          <w:bCs w:val="0"/>
          <w:color w:val="auto"/>
          <w:sz w:val="32"/>
          <w:szCs w:val="32"/>
          <w:highlight w:val="none"/>
          <w:lang w:val="en-US" w:eastAsia="zh-CN"/>
        </w:rPr>
        <w:t>继续下派第一书记，进一步巩固和提升万溪冲社区、段家营社区</w:t>
      </w:r>
      <w:r>
        <w:rPr>
          <w:rFonts w:hint="eastAsia" w:ascii="仿宋_GB2312" w:hAnsi="仿宋_GB2312" w:eastAsia="仿宋_GB2312" w:cs="仿宋_GB2312"/>
          <w:b w:val="0"/>
          <w:bCs w:val="0"/>
          <w:sz w:val="32"/>
          <w:szCs w:val="32"/>
          <w:highlight w:val="none"/>
          <w:lang w:val="en-US" w:eastAsia="zh-CN"/>
        </w:rPr>
        <w:t>软弱涣散基层党组织整顿提升成效；新确定柏枝营社区党总支为软弱涣散基层党组织，</w:t>
      </w:r>
      <w:r>
        <w:rPr>
          <w:rFonts w:hint="eastAsia" w:ascii="仿宋_GB2312" w:hAnsi="仿宋_GB2312" w:eastAsia="仿宋_GB2312" w:cs="仿宋_GB2312"/>
          <w:b w:val="0"/>
          <w:bCs w:val="0"/>
          <w:sz w:val="32"/>
          <w:szCs w:val="32"/>
          <w:highlight w:val="none"/>
          <w:lang w:eastAsia="zh-CN"/>
        </w:rPr>
        <w:t>及时制定整顿工作方案进行整顿提升。</w:t>
      </w:r>
      <w:r>
        <w:rPr>
          <w:rFonts w:hint="eastAsia" w:ascii="仿宋_GB2312" w:hAnsi="仿宋_GB2312" w:eastAsia="仿宋_GB2312" w:cs="仿宋_GB2312"/>
          <w:b w:val="0"/>
          <w:bCs w:val="0"/>
          <w:color w:val="auto"/>
          <w:sz w:val="32"/>
          <w:szCs w:val="32"/>
          <w:highlight w:val="none"/>
          <w:lang w:val="en-US" w:eastAsia="zh-CN"/>
        </w:rPr>
        <w:t>三是做好分类定级，</w:t>
      </w:r>
      <w:r>
        <w:rPr>
          <w:rFonts w:hint="eastAsia" w:ascii="仿宋_GB2312" w:hAnsi="仿宋_GB2312" w:eastAsia="仿宋_GB2312" w:cs="仿宋_GB2312"/>
          <w:b w:val="0"/>
          <w:bCs w:val="0"/>
          <w:sz w:val="32"/>
          <w:highlight w:val="none"/>
        </w:rPr>
        <w:t>按规定的程序在</w:t>
      </w:r>
      <w:r>
        <w:rPr>
          <w:rFonts w:hint="eastAsia" w:ascii="仿宋_GB2312" w:hAnsi="仿宋_GB2312" w:eastAsia="仿宋_GB2312" w:cs="仿宋_GB2312"/>
          <w:b w:val="0"/>
          <w:bCs w:val="0"/>
          <w:sz w:val="32"/>
          <w:highlight w:val="none"/>
          <w:lang w:val="en-US" w:eastAsia="zh-CN"/>
        </w:rPr>
        <w:t>33</w:t>
      </w:r>
      <w:r>
        <w:rPr>
          <w:rFonts w:hint="eastAsia" w:ascii="仿宋_GB2312" w:hAnsi="仿宋_GB2312" w:eastAsia="仿宋_GB2312" w:cs="仿宋_GB2312"/>
          <w:b w:val="0"/>
          <w:bCs w:val="0"/>
          <w:sz w:val="32"/>
          <w:highlight w:val="none"/>
        </w:rPr>
        <w:t>个党</w:t>
      </w:r>
      <w:r>
        <w:rPr>
          <w:rFonts w:hint="eastAsia" w:ascii="仿宋_GB2312" w:hAnsi="仿宋_GB2312" w:eastAsia="仿宋_GB2312" w:cs="仿宋_GB2312"/>
          <w:b w:val="0"/>
          <w:bCs w:val="0"/>
          <w:sz w:val="32"/>
          <w:highlight w:val="none"/>
          <w:lang w:eastAsia="zh-CN"/>
        </w:rPr>
        <w:t>组织</w:t>
      </w:r>
      <w:r>
        <w:rPr>
          <w:rFonts w:hint="eastAsia" w:ascii="仿宋_GB2312" w:hAnsi="仿宋_GB2312" w:eastAsia="仿宋_GB2312" w:cs="仿宋_GB2312"/>
          <w:b w:val="0"/>
          <w:bCs w:val="0"/>
          <w:sz w:val="32"/>
          <w:highlight w:val="none"/>
        </w:rPr>
        <w:t>开展分类定级工作，确定先进党</w:t>
      </w:r>
      <w:r>
        <w:rPr>
          <w:rFonts w:hint="eastAsia" w:ascii="仿宋_GB2312" w:hAnsi="仿宋_GB2312" w:eastAsia="仿宋_GB2312" w:cs="仿宋_GB2312"/>
          <w:b w:val="0"/>
          <w:bCs w:val="0"/>
          <w:sz w:val="32"/>
          <w:highlight w:val="none"/>
          <w:lang w:eastAsia="zh-CN"/>
        </w:rPr>
        <w:t>组织</w:t>
      </w:r>
      <w:r>
        <w:rPr>
          <w:rFonts w:hint="eastAsia" w:ascii="仿宋_GB2312" w:hAnsi="仿宋_GB2312" w:eastAsia="仿宋_GB2312" w:cs="仿宋_GB2312"/>
          <w:b w:val="0"/>
          <w:bCs w:val="0"/>
          <w:sz w:val="32"/>
          <w:highlight w:val="none"/>
          <w:lang w:val="en-US" w:eastAsia="zh-CN"/>
        </w:rPr>
        <w:t>6</w:t>
      </w:r>
      <w:r>
        <w:rPr>
          <w:rFonts w:hint="eastAsia" w:ascii="仿宋_GB2312" w:hAnsi="仿宋_GB2312" w:eastAsia="仿宋_GB2312" w:cs="仿宋_GB2312"/>
          <w:b w:val="0"/>
          <w:bCs w:val="0"/>
          <w:sz w:val="32"/>
          <w:highlight w:val="none"/>
        </w:rPr>
        <w:t>个，一般党</w:t>
      </w:r>
      <w:r>
        <w:rPr>
          <w:rFonts w:hint="eastAsia" w:ascii="仿宋_GB2312" w:hAnsi="仿宋_GB2312" w:eastAsia="仿宋_GB2312" w:cs="仿宋_GB2312"/>
          <w:b w:val="0"/>
          <w:bCs w:val="0"/>
          <w:sz w:val="32"/>
          <w:highlight w:val="none"/>
          <w:lang w:eastAsia="zh-CN"/>
        </w:rPr>
        <w:t>组织</w:t>
      </w:r>
      <w:r>
        <w:rPr>
          <w:rFonts w:hint="eastAsia" w:ascii="仿宋_GB2312" w:hAnsi="仿宋_GB2312" w:eastAsia="仿宋_GB2312" w:cs="仿宋_GB2312"/>
          <w:b w:val="0"/>
          <w:bCs w:val="0"/>
          <w:sz w:val="32"/>
          <w:highlight w:val="none"/>
          <w:lang w:val="en-US" w:eastAsia="zh-CN"/>
        </w:rPr>
        <w:t>25</w:t>
      </w:r>
      <w:r>
        <w:rPr>
          <w:rFonts w:hint="eastAsia" w:ascii="仿宋_GB2312" w:hAnsi="仿宋_GB2312" w:eastAsia="仿宋_GB2312" w:cs="仿宋_GB2312"/>
          <w:b w:val="0"/>
          <w:bCs w:val="0"/>
          <w:sz w:val="32"/>
          <w:highlight w:val="none"/>
        </w:rPr>
        <w:t>个，后进</w:t>
      </w:r>
      <w:r>
        <w:rPr>
          <w:rFonts w:hint="eastAsia" w:ascii="仿宋_GB2312" w:hAnsi="仿宋_GB2312" w:eastAsia="仿宋_GB2312" w:cs="仿宋_GB2312"/>
          <w:b w:val="0"/>
          <w:bCs w:val="0"/>
          <w:sz w:val="32"/>
          <w:highlight w:val="none"/>
          <w:lang w:eastAsia="zh-CN"/>
        </w:rPr>
        <w:t>党组织</w:t>
      </w:r>
      <w:r>
        <w:rPr>
          <w:rFonts w:hint="eastAsia" w:ascii="仿宋_GB2312" w:hAnsi="仿宋_GB2312" w:eastAsia="仿宋_GB2312" w:cs="仿宋_GB2312"/>
          <w:b w:val="0"/>
          <w:bCs w:val="0"/>
          <w:sz w:val="32"/>
          <w:highlight w:val="none"/>
          <w:lang w:val="en-US" w:eastAsia="zh-CN"/>
        </w:rPr>
        <w:t>2</w:t>
      </w:r>
      <w:r>
        <w:rPr>
          <w:rFonts w:hint="eastAsia" w:ascii="仿宋_GB2312" w:hAnsi="仿宋_GB2312" w:eastAsia="仿宋_GB2312" w:cs="仿宋_GB2312"/>
          <w:b w:val="0"/>
          <w:bCs w:val="0"/>
          <w:sz w:val="32"/>
          <w:highlight w:val="none"/>
        </w:rPr>
        <w:t>个</w:t>
      </w:r>
      <w:r>
        <w:rPr>
          <w:rFonts w:hint="eastAsia" w:ascii="仿宋_GB2312" w:hAnsi="仿宋_GB2312" w:eastAsia="仿宋_GB2312" w:cs="仿宋_GB2312"/>
          <w:b w:val="0"/>
          <w:bCs w:val="0"/>
          <w:sz w:val="32"/>
          <w:highlight w:val="none"/>
          <w:lang w:eastAsia="zh-CN"/>
        </w:rPr>
        <w:t>。完成</w:t>
      </w:r>
      <w:r>
        <w:rPr>
          <w:rFonts w:hint="eastAsia" w:ascii="仿宋_GB2312" w:hAnsi="仿宋_GB2312" w:eastAsia="仿宋_GB2312" w:cs="仿宋_GB2312"/>
          <w:b w:val="0"/>
          <w:bCs w:val="0"/>
          <w:sz w:val="32"/>
          <w:highlight w:val="none"/>
          <w:lang w:val="en-US" w:eastAsia="zh-CN"/>
        </w:rPr>
        <w:t>党支部规范化建设达标创建6个，分别是</w:t>
      </w:r>
      <w:r>
        <w:rPr>
          <w:rFonts w:hint="eastAsia" w:ascii="仿宋_GB2312" w:hAnsi="仿宋_GB2312" w:eastAsia="仿宋_GB2312" w:cs="仿宋_GB2312"/>
          <w:b w:val="0"/>
          <w:bCs w:val="0"/>
          <w:sz w:val="32"/>
          <w:highlight w:val="none"/>
          <w:lang w:eastAsia="zh-CN"/>
        </w:rPr>
        <w:t>柏枝营社区第一、第二党支部，推进新成立的</w:t>
      </w:r>
      <w:r>
        <w:rPr>
          <w:rFonts w:hint="eastAsia" w:ascii="仿宋_GB2312" w:hAnsi="仿宋_GB2312" w:eastAsia="仿宋_GB2312" w:cs="仿宋_GB2312"/>
          <w:b w:val="0"/>
          <w:bCs w:val="0"/>
          <w:sz w:val="32"/>
          <w:highlight w:val="none"/>
          <w:lang w:val="en-US" w:eastAsia="zh-CN"/>
        </w:rPr>
        <w:t>4家“两新”联合党支部工作开展</w:t>
      </w:r>
      <w:r>
        <w:rPr>
          <w:rFonts w:hint="eastAsia" w:ascii="仿宋_GB2312" w:hAnsi="仿宋_GB2312" w:eastAsia="仿宋_GB2312" w:cs="仿宋_GB2312"/>
          <w:b w:val="0"/>
          <w:bCs w:val="0"/>
          <w:sz w:val="32"/>
          <w:szCs w:val="32"/>
          <w:highlight w:val="none"/>
          <w:lang w:val="en-US" w:eastAsia="zh-CN"/>
        </w:rPr>
        <w:t>。四是加强基层党组织建设，</w:t>
      </w:r>
      <w:r>
        <w:rPr>
          <w:rFonts w:hint="eastAsia" w:ascii="仿宋_GB2312" w:hAnsi="仿宋_GB2312" w:eastAsia="仿宋_GB2312" w:cs="仿宋_GB2312"/>
          <w:b w:val="0"/>
          <w:bCs w:val="0"/>
          <w:color w:val="000000"/>
          <w:sz w:val="32"/>
          <w:szCs w:val="32"/>
          <w:highlight w:val="none"/>
          <w:lang w:val="en-US" w:eastAsia="zh-CN"/>
        </w:rPr>
        <w:t>扎实开展换届选举工作。11个社区</w:t>
      </w:r>
      <w:r>
        <w:rPr>
          <w:rFonts w:hint="eastAsia" w:ascii="仿宋_GB2312" w:hAnsi="仿宋_GB2312" w:eastAsia="仿宋_GB2312" w:cs="仿宋_GB2312"/>
          <w:b w:val="0"/>
          <w:bCs w:val="0"/>
          <w:sz w:val="32"/>
          <w:highlight w:val="none"/>
          <w:lang w:eastAsia="zh-CN"/>
        </w:rPr>
        <w:t>全部</w:t>
      </w:r>
      <w:r>
        <w:rPr>
          <w:rFonts w:hint="eastAsia" w:ascii="仿宋_GB2312" w:hAnsi="仿宋_GB2312" w:eastAsia="仿宋_GB2312" w:cs="仿宋_GB2312"/>
          <w:b w:val="0"/>
          <w:bCs w:val="0"/>
          <w:sz w:val="32"/>
          <w:highlight w:val="none"/>
        </w:rPr>
        <w:t>依法依规、严格</w:t>
      </w:r>
      <w:r>
        <w:rPr>
          <w:rFonts w:hint="eastAsia" w:ascii="仿宋_GB2312" w:hAnsi="仿宋_GB2312" w:eastAsia="仿宋_GB2312" w:cs="仿宋_GB2312"/>
          <w:b w:val="0"/>
          <w:bCs w:val="0"/>
          <w:sz w:val="32"/>
          <w:highlight w:val="none"/>
          <w:lang w:eastAsia="zh-CN"/>
        </w:rPr>
        <w:t>选举</w:t>
      </w:r>
      <w:r>
        <w:rPr>
          <w:rFonts w:hint="eastAsia" w:ascii="仿宋_GB2312" w:hAnsi="仿宋_GB2312" w:eastAsia="仿宋_GB2312" w:cs="仿宋_GB2312"/>
          <w:b w:val="0"/>
          <w:bCs w:val="0"/>
          <w:sz w:val="32"/>
          <w:highlight w:val="none"/>
        </w:rPr>
        <w:t>程序，</w:t>
      </w:r>
      <w:r>
        <w:rPr>
          <w:rFonts w:hint="eastAsia" w:ascii="仿宋_GB2312" w:hAnsi="仿宋_GB2312" w:eastAsia="仿宋_GB2312" w:cs="仿宋_GB2312"/>
          <w:b w:val="0"/>
          <w:bCs w:val="0"/>
          <w:sz w:val="32"/>
          <w:highlight w:val="none"/>
          <w:lang w:val="en-US" w:eastAsia="zh-CN"/>
        </w:rPr>
        <w:t>实现书记主任</w:t>
      </w:r>
      <w:r>
        <w:rPr>
          <w:rFonts w:hint="eastAsia" w:ascii="仿宋_GB2312" w:hAnsi="仿宋_GB2312" w:eastAsia="仿宋_GB2312" w:cs="仿宋_GB2312"/>
          <w:b w:val="0"/>
          <w:bCs w:val="0"/>
          <w:sz w:val="32"/>
          <w:highlight w:val="none"/>
        </w:rPr>
        <w:t>“一肩挑”</w:t>
      </w:r>
      <w:r>
        <w:rPr>
          <w:rFonts w:hint="eastAsia" w:ascii="仿宋_GB2312" w:hAnsi="仿宋_GB2312" w:eastAsia="仿宋_GB2312" w:cs="仿宋_GB2312"/>
          <w:b w:val="0"/>
          <w:bCs w:val="0"/>
          <w:sz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每个社区“两委”成员中均至少有1名35岁以下的年轻干部，</w:t>
      </w:r>
      <w:r>
        <w:rPr>
          <w:rFonts w:hint="eastAsia" w:ascii="仿宋_GB2312" w:hAnsi="仿宋_GB2312" w:eastAsia="仿宋_GB2312" w:cs="仿宋_GB2312"/>
          <w:b w:val="0"/>
          <w:bCs w:val="0"/>
          <w:color w:val="000000"/>
          <w:spacing w:val="-9"/>
          <w:sz w:val="32"/>
          <w:szCs w:val="32"/>
          <w:highlight w:val="none"/>
          <w:lang w:val="en-US" w:eastAsia="zh-CN"/>
        </w:rPr>
        <w:t>女性成</w:t>
      </w:r>
      <w:r>
        <w:rPr>
          <w:rFonts w:hint="eastAsia" w:ascii="仿宋_GB2312" w:hAnsi="仿宋_GB2312" w:eastAsia="仿宋_GB2312" w:cs="仿宋_GB2312"/>
          <w:b w:val="0"/>
          <w:bCs w:val="0"/>
          <w:sz w:val="32"/>
          <w:highlight w:val="none"/>
          <w:lang w:val="en-US" w:eastAsia="zh-CN"/>
        </w:rPr>
        <w:t>员达37%。</w:t>
      </w:r>
      <w:r>
        <w:rPr>
          <w:rFonts w:hint="eastAsia" w:ascii="仿宋_GB2312" w:hAnsi="仿宋_GB2312" w:eastAsia="仿宋_GB2312" w:cs="仿宋_GB2312"/>
          <w:b w:val="0"/>
          <w:bCs w:val="0"/>
          <w:sz w:val="32"/>
          <w:highlight w:val="none"/>
          <w:lang w:eastAsia="zh-CN"/>
        </w:rPr>
        <w:t>选举产生吴家营街道党工委出席中国共产党昆明市呈贡区第三次代表大会代表</w:t>
      </w:r>
      <w:r>
        <w:rPr>
          <w:rFonts w:hint="eastAsia" w:ascii="仿宋_GB2312" w:hAnsi="仿宋_GB2312" w:eastAsia="仿宋_GB2312" w:cs="仿宋_GB2312"/>
          <w:b w:val="0"/>
          <w:bCs w:val="0"/>
          <w:sz w:val="32"/>
          <w:highlight w:val="none"/>
          <w:lang w:val="en-US" w:eastAsia="zh-CN"/>
        </w:rPr>
        <w:t>11名。</w:t>
      </w:r>
      <w:r>
        <w:rPr>
          <w:rFonts w:hint="eastAsia" w:ascii="仿宋_GB2312" w:hAnsi="仿宋_GB2312" w:eastAsia="仿宋_GB2312" w:cs="仿宋_GB2312"/>
          <w:b w:val="0"/>
          <w:bCs w:val="0"/>
          <w:color w:val="000000"/>
          <w:sz w:val="32"/>
          <w:szCs w:val="32"/>
          <w:highlight w:val="none"/>
          <w:lang w:val="en-US" w:eastAsia="zh-CN"/>
        </w:rPr>
        <w:t>对街道党务干部进行“四个阶段”全覆盖培训。</w:t>
      </w:r>
      <w:r>
        <w:rPr>
          <w:rFonts w:hint="eastAsia" w:ascii="仿宋_GB2312" w:hAnsi="仿宋_GB2312" w:eastAsia="仿宋_GB2312" w:cs="仿宋_GB2312"/>
          <w:b w:val="0"/>
          <w:bCs w:val="0"/>
          <w:color w:val="auto"/>
          <w:kern w:val="0"/>
          <w:sz w:val="32"/>
          <w:highlight w:val="none"/>
          <w:lang w:val="en-US" w:eastAsia="zh-CN"/>
        </w:rPr>
        <w:t>五是</w:t>
      </w:r>
      <w:r>
        <w:rPr>
          <w:rStyle w:val="18"/>
          <w:rFonts w:hint="eastAsia" w:ascii="仿宋_GB2312" w:hAnsi="仿宋_GB2312" w:eastAsia="仿宋_GB2312" w:cs="仿宋_GB2312"/>
          <w:b w:val="0"/>
          <w:bCs w:val="0"/>
          <w:spacing w:val="0"/>
          <w:w w:val="100"/>
          <w:kern w:val="0"/>
          <w:highlight w:val="none"/>
          <w:lang w:val="en-US" w:eastAsia="zh-CN"/>
        </w:rPr>
        <w:t>抓好“双报到双服务双报告”工作。</w:t>
      </w:r>
      <w:r>
        <w:rPr>
          <w:rFonts w:hint="eastAsia" w:ascii="仿宋_GB2312" w:hAnsi="仿宋_GB2312" w:eastAsia="仿宋_GB2312" w:cs="仿宋_GB2312"/>
          <w:b w:val="0"/>
          <w:bCs w:val="0"/>
          <w:spacing w:val="-4"/>
          <w:sz w:val="32"/>
          <w:szCs w:val="32"/>
          <w:highlight w:val="none"/>
          <w:lang w:eastAsia="zh-CN"/>
        </w:rPr>
        <w:t>截至目前，到街道辖区报到已绑定机关党组织</w:t>
      </w:r>
      <w:r>
        <w:rPr>
          <w:rFonts w:hint="eastAsia" w:ascii="仿宋_GB2312" w:hAnsi="仿宋_GB2312" w:eastAsia="仿宋_GB2312" w:cs="仿宋_GB2312"/>
          <w:b w:val="0"/>
          <w:bCs w:val="0"/>
          <w:spacing w:val="-4"/>
          <w:sz w:val="32"/>
          <w:szCs w:val="32"/>
          <w:highlight w:val="none"/>
          <w:lang w:val="en-US" w:eastAsia="zh-CN"/>
        </w:rPr>
        <w:t>42家，已绑定报到在职党员5192人，各社区</w:t>
      </w:r>
      <w:r>
        <w:rPr>
          <w:rFonts w:hint="eastAsia" w:ascii="仿宋_GB2312" w:hAnsi="仿宋_GB2312" w:eastAsia="仿宋_GB2312" w:cs="仿宋_GB2312"/>
          <w:b w:val="0"/>
          <w:bCs w:val="0"/>
          <w:spacing w:val="-4"/>
          <w:sz w:val="32"/>
          <w:szCs w:val="32"/>
          <w:highlight w:val="none"/>
          <w:lang w:eastAsia="zh-CN"/>
        </w:rPr>
        <w:t>结合党史学习教育、文明城市创建工作、爱国卫生“七个专项行动”、医疗保健等开展“双报到”服务活动</w:t>
      </w:r>
      <w:r>
        <w:rPr>
          <w:rFonts w:hint="eastAsia" w:ascii="仿宋_GB2312" w:hAnsi="仿宋_GB2312" w:eastAsia="仿宋_GB2312" w:cs="仿宋_GB2312"/>
          <w:b w:val="0"/>
          <w:bCs w:val="0"/>
          <w:spacing w:val="-4"/>
          <w:sz w:val="32"/>
          <w:szCs w:val="32"/>
          <w:highlight w:val="none"/>
          <w:lang w:val="en-US" w:eastAsia="zh-CN"/>
        </w:rPr>
        <w:t>526次</w:t>
      </w:r>
      <w:r>
        <w:rPr>
          <w:rFonts w:hint="eastAsia" w:ascii="仿宋_GB2312" w:hAnsi="仿宋_GB2312" w:eastAsia="仿宋_GB2312" w:cs="仿宋_GB2312"/>
          <w:b w:val="0"/>
          <w:bCs w:val="0"/>
          <w:spacing w:val="-4"/>
          <w:sz w:val="32"/>
          <w:szCs w:val="32"/>
          <w:highlight w:val="none"/>
          <w:lang w:eastAsia="zh-CN"/>
        </w:rPr>
        <w:t>。六是抓实支部规范化建设工作。</w:t>
      </w:r>
      <w:r>
        <w:rPr>
          <w:rFonts w:hint="eastAsia" w:ascii="仿宋_GB2312" w:hAnsi="仿宋_GB2312" w:eastAsia="仿宋_GB2312" w:cs="仿宋_GB2312"/>
          <w:b w:val="0"/>
          <w:bCs w:val="0"/>
          <w:spacing w:val="-4"/>
          <w:sz w:val="32"/>
          <w:szCs w:val="32"/>
          <w:highlight w:val="none"/>
          <w:lang w:val="en-US" w:eastAsia="zh-CN"/>
        </w:rPr>
        <w:t>3</w:t>
      </w:r>
      <w:r>
        <w:rPr>
          <w:rFonts w:hint="eastAsia" w:ascii="仿宋_GB2312" w:hAnsi="仿宋_GB2312" w:eastAsia="仿宋_GB2312" w:cs="仿宋_GB2312"/>
          <w:b w:val="0"/>
          <w:bCs w:val="0"/>
          <w:spacing w:val="-4"/>
          <w:sz w:val="32"/>
          <w:szCs w:val="32"/>
          <w:highlight w:val="none"/>
          <w:lang w:eastAsia="zh-CN"/>
        </w:rPr>
        <w:t>个城市社区党支部全部升格为党总支，完成居民小区党建全覆盖，中庄社区分设</w:t>
      </w:r>
      <w:r>
        <w:rPr>
          <w:rFonts w:hint="eastAsia" w:ascii="仿宋_GB2312" w:hAnsi="仿宋_GB2312" w:eastAsia="仿宋_GB2312" w:cs="仿宋_GB2312"/>
          <w:b w:val="0"/>
          <w:bCs w:val="0"/>
          <w:spacing w:val="-4"/>
          <w:sz w:val="32"/>
          <w:szCs w:val="32"/>
          <w:highlight w:val="none"/>
          <w:lang w:val="en-US" w:eastAsia="zh-CN"/>
        </w:rPr>
        <w:t>4个下设支部。</w:t>
      </w:r>
    </w:p>
    <w:p>
      <w:pPr>
        <w:topLinePunct/>
        <w:spacing w:line="560" w:lineRule="exact"/>
        <w:ind w:firstLine="594" w:firstLineChars="200"/>
        <w:rPr>
          <w:rFonts w:ascii="楷体_GB2312" w:eastAsia="楷体_GB2312"/>
          <w:szCs w:val="32"/>
        </w:rPr>
      </w:pPr>
      <w:r>
        <w:rPr>
          <w:rFonts w:hint="eastAsia" w:ascii="楷体_GB2312" w:eastAsia="楷体_GB2312"/>
          <w:szCs w:val="32"/>
        </w:rPr>
        <w:t>（二）项目绩效目标</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区财政局对吴家营街道下达了</w:t>
      </w: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1</w:t>
      </w:r>
      <w:r>
        <w:rPr>
          <w:rFonts w:hint="eastAsia" w:ascii="仿宋_GB2312" w:hAnsi="Times New Roman"/>
          <w:kern w:val="0"/>
          <w:szCs w:val="32"/>
        </w:rPr>
        <w:t>年度区级财政预算安排的吴家营街道党建工作经费项目。</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二、项目单位绩效报告情况</w:t>
      </w:r>
    </w:p>
    <w:p>
      <w:pPr>
        <w:snapToGrid w:val="0"/>
        <w:spacing w:line="560" w:lineRule="exact"/>
        <w:ind w:firstLine="594" w:firstLineChars="200"/>
        <w:rPr>
          <w:rFonts w:ascii="仿宋_GB2312" w:hAnsi="Times New Roman"/>
          <w:kern w:val="0"/>
          <w:szCs w:val="32"/>
        </w:rPr>
      </w:pPr>
      <w:r>
        <w:rPr>
          <w:rFonts w:ascii="仿宋_GB2312" w:hAnsi="Times New Roman"/>
          <w:kern w:val="0"/>
          <w:szCs w:val="32"/>
        </w:rPr>
        <w:t xml:space="preserve"> </w:t>
      </w:r>
      <w:r>
        <w:rPr>
          <w:rFonts w:hint="eastAsia" w:ascii="仿宋_GB2312" w:hAnsi="Times New Roman"/>
          <w:kern w:val="0"/>
          <w:szCs w:val="32"/>
        </w:rPr>
        <w:t>项目单位建立健全项目实施预算方案、财务管理制度和会计核算制度，此次绩效评价过程中未发现有截留、挤占或挪用项目资金的情况。</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三、绩效评价工作情况</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（一）绩效评价目的</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街道党建经费项目支出绩效评价是为了加强财政支出管理，提高财政资金使用效益，发挥财政资金对街道所属各基层党建项目的支持作用，规范财政资金使用。</w:t>
      </w:r>
    </w:p>
    <w:p>
      <w:pPr>
        <w:snapToGrid w:val="0"/>
        <w:spacing w:line="560" w:lineRule="exact"/>
        <w:ind w:firstLine="594" w:firstLineChars="200"/>
        <w:rPr>
          <w:rFonts w:ascii="楷体_GB2312" w:hAnsi="Times New Roman" w:eastAsia="楷体_GB2312"/>
          <w:bCs/>
          <w:kern w:val="0"/>
        </w:rPr>
      </w:pPr>
      <w:r>
        <w:rPr>
          <w:rFonts w:hint="eastAsia" w:ascii="楷体_GB2312" w:hAnsi="Times New Roman" w:eastAsia="楷体_GB2312"/>
          <w:bCs/>
          <w:kern w:val="0"/>
        </w:rPr>
        <w:t>（二）绩效评价的原则、评价指标体系、评价方法</w:t>
      </w:r>
    </w:p>
    <w:p>
      <w:pPr>
        <w:snapToGrid w:val="0"/>
        <w:spacing w:line="560" w:lineRule="exact"/>
        <w:ind w:firstLine="594" w:firstLineChars="200"/>
        <w:rPr>
          <w:rFonts w:ascii="仿宋_GB2312" w:hAnsi="Times New Roman"/>
          <w:bCs/>
          <w:kern w:val="0"/>
        </w:rPr>
      </w:pPr>
      <w:r>
        <w:rPr>
          <w:rFonts w:hint="eastAsia" w:ascii="仿宋_GB2312" w:hAnsi="Times New Roman"/>
          <w:bCs/>
          <w:kern w:val="0"/>
        </w:rPr>
        <w:t>按《</w:t>
      </w:r>
      <w:r>
        <w:rPr>
          <w:rFonts w:hint="eastAsia" w:ascii="仿宋_GB2312" w:hAnsi="Times New Roman"/>
          <w:bCs/>
          <w:kern w:val="0"/>
          <w:lang w:eastAsia="zh-CN"/>
        </w:rPr>
        <w:t>中华人民共和国</w:t>
      </w:r>
      <w:r>
        <w:rPr>
          <w:rFonts w:hint="eastAsia" w:ascii="仿宋_GB2312" w:hAnsi="Times New Roman"/>
          <w:bCs/>
          <w:kern w:val="0"/>
        </w:rPr>
        <w:t>预算法》的规定，设立绩效评价体系及评价方法。</w:t>
      </w:r>
      <w:bookmarkStart w:id="0" w:name="_GoBack"/>
      <w:bookmarkEnd w:id="0"/>
    </w:p>
    <w:p>
      <w:pPr>
        <w:snapToGrid w:val="0"/>
        <w:spacing w:line="560" w:lineRule="exact"/>
        <w:ind w:firstLine="594" w:firstLineChars="200"/>
        <w:rPr>
          <w:rFonts w:ascii="楷体_GB2312" w:hAnsi="Times New Roman" w:eastAsia="楷体_GB2312"/>
          <w:bCs/>
          <w:kern w:val="0"/>
        </w:rPr>
      </w:pPr>
      <w:r>
        <w:rPr>
          <w:rFonts w:hint="eastAsia" w:ascii="楷体_GB2312" w:hAnsi="Times New Roman" w:eastAsia="楷体_GB2312"/>
          <w:bCs/>
          <w:kern w:val="0"/>
        </w:rPr>
        <w:t>（三）绩效评价工作过程</w:t>
      </w:r>
    </w:p>
    <w:p>
      <w:pPr>
        <w:snapToGrid w:val="0"/>
        <w:spacing w:line="560" w:lineRule="exact"/>
        <w:ind w:firstLine="594" w:firstLineChars="200"/>
        <w:rPr>
          <w:rFonts w:ascii="仿宋_GB2312" w:hAnsi="Times New Roman"/>
          <w:bCs/>
          <w:kern w:val="0"/>
        </w:rPr>
      </w:pPr>
      <w:r>
        <w:rPr>
          <w:rFonts w:hint="eastAsia" w:ascii="仿宋_GB2312" w:hAnsi="Times New Roman"/>
          <w:bCs/>
          <w:kern w:val="0"/>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四、绩效评价指标分析情况</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（一）项目资金情况分析</w:t>
      </w:r>
    </w:p>
    <w:p>
      <w:pPr>
        <w:snapToGrid w:val="0"/>
        <w:spacing w:line="560" w:lineRule="exact"/>
        <w:ind w:firstLine="594" w:firstLineChars="200"/>
        <w:rPr>
          <w:rFonts w:ascii="仿宋_GB2312" w:hAnsi="Times New Roman"/>
          <w:kern w:val="0"/>
          <w:szCs w:val="32"/>
        </w:rPr>
      </w:pP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1</w:t>
      </w:r>
      <w:r>
        <w:rPr>
          <w:rFonts w:hint="eastAsia" w:ascii="仿宋_GB2312" w:hAnsi="Times New Roman"/>
          <w:kern w:val="0"/>
          <w:szCs w:val="32"/>
        </w:rPr>
        <w:t>年，吴家营街道党建经费项目中投入</w:t>
      </w:r>
      <w:r>
        <w:rPr>
          <w:rFonts w:hint="eastAsia" w:ascii="仿宋_GB2312" w:eastAsia="仿宋_GB2312"/>
          <w:b w:val="0"/>
          <w:bCs w:val="0"/>
          <w:sz w:val="32"/>
          <w:szCs w:val="32"/>
          <w:lang w:val="en-US" w:eastAsia="zh-CN"/>
        </w:rPr>
        <w:t>288.89</w:t>
      </w:r>
      <w:r>
        <w:rPr>
          <w:rFonts w:hint="eastAsia" w:ascii="仿宋_GB2312" w:hAnsi="Times New Roman"/>
          <w:kern w:val="0"/>
          <w:szCs w:val="32"/>
        </w:rPr>
        <w:t>万元，其中：村改居社区党建工作经费17</w:t>
      </w:r>
      <w:r>
        <w:rPr>
          <w:rFonts w:hint="eastAsia" w:ascii="仿宋_GB2312" w:hAnsi="Times New Roman"/>
          <w:kern w:val="0"/>
          <w:szCs w:val="32"/>
          <w:lang w:val="en-US" w:eastAsia="zh-CN"/>
        </w:rPr>
        <w:t>6.77</w:t>
      </w:r>
      <w:r>
        <w:rPr>
          <w:rFonts w:hint="eastAsia" w:ascii="仿宋_GB2312" w:hAnsi="Times New Roman"/>
          <w:kern w:val="0"/>
          <w:szCs w:val="32"/>
        </w:rPr>
        <w:t>万元、城市社区党建工作经费</w:t>
      </w:r>
      <w:r>
        <w:rPr>
          <w:rFonts w:ascii="仿宋_GB2312" w:hAnsi="Times New Roman"/>
          <w:kern w:val="0"/>
          <w:szCs w:val="32"/>
        </w:rPr>
        <w:t>8</w:t>
      </w:r>
      <w:r>
        <w:rPr>
          <w:rFonts w:hint="eastAsia" w:ascii="仿宋_GB2312" w:hAnsi="Times New Roman"/>
          <w:kern w:val="0"/>
          <w:szCs w:val="32"/>
          <w:lang w:val="en-US" w:eastAsia="zh-CN"/>
        </w:rPr>
        <w:t>7.63</w:t>
      </w:r>
      <w:r>
        <w:rPr>
          <w:rFonts w:hint="eastAsia" w:ascii="仿宋_GB2312" w:hAnsi="Times New Roman"/>
          <w:kern w:val="0"/>
          <w:szCs w:val="32"/>
        </w:rPr>
        <w:t>万元、街道党建工作经费</w:t>
      </w:r>
      <w:r>
        <w:rPr>
          <w:rFonts w:ascii="仿宋_GB2312" w:hAnsi="Times New Roman"/>
          <w:kern w:val="0"/>
          <w:szCs w:val="32"/>
        </w:rPr>
        <w:t>10</w:t>
      </w:r>
      <w:r>
        <w:rPr>
          <w:rFonts w:hint="eastAsia" w:ascii="仿宋_GB2312" w:hAnsi="Times New Roman"/>
          <w:kern w:val="0"/>
          <w:szCs w:val="32"/>
        </w:rPr>
        <w:t>万元、</w:t>
      </w:r>
      <w:r>
        <w:rPr>
          <w:rFonts w:hint="eastAsia" w:ascii="仿宋_GB2312" w:hAnsi="Times New Roman"/>
          <w:kern w:val="0"/>
          <w:szCs w:val="32"/>
          <w:lang w:eastAsia="zh-CN"/>
        </w:rPr>
        <w:t>两新党组织</w:t>
      </w:r>
      <w:r>
        <w:rPr>
          <w:rFonts w:hint="eastAsia" w:ascii="仿宋_GB2312" w:hAnsi="Times New Roman"/>
          <w:kern w:val="0"/>
          <w:szCs w:val="32"/>
        </w:rPr>
        <w:t>党建工作经费</w:t>
      </w:r>
      <w:r>
        <w:rPr>
          <w:rFonts w:hint="eastAsia" w:ascii="仿宋_GB2312" w:hAnsi="Times New Roman"/>
          <w:kern w:val="0"/>
          <w:szCs w:val="32"/>
          <w:lang w:val="en-US" w:eastAsia="zh-CN"/>
        </w:rPr>
        <w:t>8.69</w:t>
      </w:r>
      <w:r>
        <w:rPr>
          <w:rFonts w:hint="eastAsia" w:ascii="仿宋_GB2312" w:hAnsi="Times New Roman"/>
          <w:kern w:val="0"/>
          <w:szCs w:val="32"/>
        </w:rPr>
        <w:t>万元、</w:t>
      </w:r>
      <w:r>
        <w:rPr>
          <w:rFonts w:hint="eastAsia" w:ascii="仿宋_GB2312" w:hAnsi="Times New Roman"/>
          <w:kern w:val="0"/>
          <w:szCs w:val="32"/>
          <w:lang w:eastAsia="zh-CN"/>
        </w:rPr>
        <w:t>街道</w:t>
      </w:r>
      <w:r>
        <w:rPr>
          <w:rFonts w:hint="eastAsia" w:ascii="仿宋_GB2312" w:hAnsi="Times New Roman"/>
          <w:kern w:val="0"/>
          <w:szCs w:val="32"/>
          <w:lang w:val="en-US" w:eastAsia="zh-CN"/>
        </w:rPr>
        <w:t>2021年度机关党员教育活动</w:t>
      </w:r>
      <w:r>
        <w:rPr>
          <w:rFonts w:hint="eastAsia" w:ascii="仿宋_GB2312" w:hAnsi="Times New Roman"/>
          <w:kern w:val="0"/>
          <w:szCs w:val="32"/>
        </w:rPr>
        <w:t>经费</w:t>
      </w:r>
      <w:r>
        <w:rPr>
          <w:rFonts w:hint="eastAsia" w:ascii="仿宋_GB2312" w:hAnsi="Times New Roman"/>
          <w:kern w:val="0"/>
          <w:szCs w:val="32"/>
          <w:lang w:val="en-US" w:eastAsia="zh-CN"/>
        </w:rPr>
        <w:t>5.81</w:t>
      </w:r>
      <w:r>
        <w:rPr>
          <w:rFonts w:hint="eastAsia" w:ascii="仿宋_GB2312" w:hAnsi="Times New Roman"/>
          <w:kern w:val="0"/>
          <w:szCs w:val="32"/>
        </w:rPr>
        <w:t>万元。</w:t>
      </w:r>
      <w:r>
        <w:rPr>
          <w:rFonts w:ascii="仿宋_GB2312" w:hAnsi="Times New Roman"/>
          <w:kern w:val="0"/>
          <w:szCs w:val="32"/>
        </w:rPr>
        <w:t xml:space="preserve"> </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以上专项资金，均用于</w:t>
      </w: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1</w:t>
      </w:r>
      <w:r>
        <w:rPr>
          <w:rFonts w:hint="eastAsia" w:ascii="仿宋_GB2312" w:hAnsi="Times New Roman"/>
          <w:kern w:val="0"/>
          <w:szCs w:val="32"/>
        </w:rPr>
        <w:t>年吴家营街道党建工作。项目支出均有相关的授权审批，资金拨付严格审批程序，使用规范，会计核算结果真实、准确。项目实施预算方案、财务管理制度和会计核算制度建立健全，未发现有截留、挤占或挪用项目资金的情况。</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（二）项目实施情况分析</w:t>
      </w:r>
    </w:p>
    <w:p>
      <w:pPr>
        <w:snapToGrid w:val="0"/>
        <w:spacing w:line="560" w:lineRule="exact"/>
        <w:ind w:firstLine="594" w:firstLineChars="200"/>
        <w:rPr>
          <w:rFonts w:ascii="Times New Roman" w:hAnsi="Times New Roman"/>
          <w:b/>
          <w:kern w:val="0"/>
          <w:szCs w:val="32"/>
        </w:rPr>
      </w:pPr>
      <w:r>
        <w:rPr>
          <w:rFonts w:ascii="Times New Roman" w:hAnsi="Times New Roman"/>
          <w:b/>
          <w:kern w:val="0"/>
          <w:szCs w:val="32"/>
        </w:rPr>
        <w:t>1</w:t>
      </w:r>
      <w:r>
        <w:rPr>
          <w:rFonts w:ascii="Times New Roman" w:hAnsi="Times New Roman"/>
          <w:b/>
          <w:kern w:val="0"/>
        </w:rPr>
        <w:t>.</w:t>
      </w:r>
      <w:r>
        <w:rPr>
          <w:rFonts w:hint="eastAsia" w:ascii="Times New Roman" w:hAnsi="Times New Roman"/>
          <w:b/>
          <w:kern w:val="0"/>
          <w:szCs w:val="32"/>
        </w:rPr>
        <w:t>项目组织情况分析</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为做好“村改居”社区党建工作，成立党建工作领导小组和基层组织建设领导小组，建立党建联系制度，定期研究和通报基层党建工作。党工委书记负总责亲自抓，分管党建的副书记具体抓，各班子成员相互配合共同抓，形成齐抓共管的党建工作合力。</w:t>
      </w:r>
    </w:p>
    <w:p>
      <w:pPr>
        <w:snapToGrid w:val="0"/>
        <w:spacing w:line="560" w:lineRule="exact"/>
        <w:ind w:firstLine="594" w:firstLineChars="200"/>
        <w:rPr>
          <w:rFonts w:ascii="Times New Roman" w:hAnsi="Times New Roman"/>
          <w:b/>
          <w:kern w:val="0"/>
          <w:szCs w:val="32"/>
        </w:rPr>
      </w:pPr>
      <w:r>
        <w:rPr>
          <w:rFonts w:ascii="Times New Roman" w:hAnsi="Times New Roman"/>
          <w:b/>
          <w:kern w:val="0"/>
        </w:rPr>
        <w:t>2.</w:t>
      </w:r>
      <w:r>
        <w:rPr>
          <w:rFonts w:hint="eastAsia" w:ascii="Times New Roman" w:hAnsi="Times New Roman"/>
          <w:b/>
          <w:kern w:val="0"/>
        </w:rPr>
        <w:t>项目管理情况分析</w:t>
      </w:r>
    </w:p>
    <w:p>
      <w:pPr>
        <w:ind w:firstLine="594" w:firstLineChars="200"/>
        <w:rPr>
          <w:rFonts w:hint="eastAsia" w:ascii="仿宋_GB2312" w:hAnsi="仿宋_GB2312" w:eastAsia="仿宋_GB2312" w:cs="仿宋_GB2312"/>
          <w:b w:val="0"/>
          <w:bCs w:val="0"/>
          <w:szCs w:val="32"/>
          <w:lang w:val="zh-CN"/>
        </w:rPr>
      </w:pPr>
      <w:r>
        <w:rPr>
          <w:rFonts w:hint="eastAsia" w:ascii="仿宋_GB2312" w:hAnsi="仿宋_GB2312" w:eastAsia="仿宋_GB2312" w:cs="仿宋_GB2312"/>
          <w:b w:val="0"/>
          <w:bCs w:val="0"/>
          <w:sz w:val="32"/>
          <w:szCs w:val="32"/>
        </w:rPr>
        <w:t>做好党史学习教育工作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按照党史学习教育的部署要求，创新组织开展“七个一百”系列活动，推动学习教育深入人心、走深走实。</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整合优势资源，压实学习教育工作责任。</w:t>
      </w:r>
      <w:r>
        <w:rPr>
          <w:rFonts w:hint="eastAsia" w:ascii="仿宋_GB2312" w:hAnsi="仿宋_GB2312" w:eastAsia="仿宋_GB2312" w:cs="仿宋_GB2312"/>
          <w:b w:val="0"/>
          <w:bCs w:val="0"/>
          <w:sz w:val="32"/>
        </w:rPr>
        <w:t>将党史学习教育列为下辖各级党组织专题党课、“三会一课”、主题党日等组织生活必学内容，</w:t>
      </w:r>
      <w:r>
        <w:rPr>
          <w:rFonts w:hint="eastAsia" w:ascii="仿宋_GB2312" w:hAnsi="仿宋_GB2312" w:eastAsia="仿宋_GB2312" w:cs="仿宋_GB2312"/>
          <w:b w:val="0"/>
          <w:bCs w:val="0"/>
          <w:sz w:val="32"/>
          <w:szCs w:val="32"/>
        </w:rPr>
        <w:t>依托党建联盟、社区大党委、“双报到双服务双报告“制度，统筹整合辖区内5所高校、公共单位师资力量，人才资源和经验丰富的社区党组织书记、老党员组建街道党史学习教育宣讲团，大学生党史宣讲团和美好少年宣讲团，面向高校、机关、社区、“两新”、中小学等不同领域开展各类宣讲、学习活动20余场次，3000余党员群众参与。二</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丰富活动形式，营造学习教育浓厚氛围。组织开展百名老党员“忆党史”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百岁老人“讲党史”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百部红色电影“观党史”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百场户外活动“学党史”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百名学习代言人“扬党史”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百部视频、照片“现党史”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百篇征文“思党史”“七个一百”系列活动，丰富党史学习教育形式。三</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聚焦民生实事，推动学习教育走深走实。聚焦基层和群众需求梳理惠民实事清单，明确具体措施、整改时限，累计开列“为民办实事清单”45件，列表督办，接受群众监督评议。聚焦街道乡村振兴工作实际，邀请云南大学、云南师范大学等22家驻区高校及公共单位成立了乡村振兴党建联盟，借力高校和公共单位人才优势，加快26项重点项目推进落实。聚焦辖区内3个搬迁社区群众反映突出的回迁安置房补偿问题，抽调60余人组成专门工作组，全覆盖入户排查、逐一核实化解。聚焦“爱国卫生7个专项行动”重点难点，依托“吹哨报到”“双报到双服务双报告”“遗留问题清零”“春城先锋”等行动，进一步强化“死角”排查整顿，累计处置各类问题60余件。聚焦历史遗留问题、信访矛盾突出问题，开展专项排查整顿工作，实行拉网式摸底排查，推动难题积案化解，努力做到件件有着落，累计化解各类矛盾问题20余件。通过</w:t>
      </w:r>
      <w:r>
        <w:rPr>
          <w:rFonts w:hint="eastAsia" w:ascii="仿宋_GB2312" w:hAnsi="仿宋_GB2312" w:eastAsia="仿宋_GB2312" w:cs="仿宋_GB2312"/>
          <w:b w:val="0"/>
          <w:bCs w:val="0"/>
          <w:sz w:val="32"/>
          <w:szCs w:val="32"/>
          <w:shd w:val="clear" w:color="auto" w:fill="FFFFFF"/>
        </w:rPr>
        <w:t>“我为群众办实事”活动的深入开展</w:t>
      </w:r>
      <w:r>
        <w:rPr>
          <w:rFonts w:hint="eastAsia" w:ascii="仿宋_GB2312" w:hAnsi="仿宋_GB2312" w:eastAsia="仿宋_GB2312" w:cs="仿宋_GB2312"/>
          <w:b w:val="0"/>
          <w:bCs w:val="0"/>
          <w:sz w:val="32"/>
          <w:szCs w:val="32"/>
        </w:rPr>
        <w:t>，党史学习教育成果得到了进一步巩固提升。</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（三）项目绩效情况分析</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1</w:t>
      </w:r>
      <w:r>
        <w:rPr>
          <w:rFonts w:ascii="Times New Roman" w:hAnsi="Times New Roman"/>
          <w:b w:val="0"/>
          <w:bCs/>
          <w:kern w:val="0"/>
        </w:rPr>
        <w:t>.</w:t>
      </w:r>
      <w:r>
        <w:rPr>
          <w:rFonts w:hint="eastAsia" w:ascii="Times New Roman" w:hAnsi="Times New Roman"/>
          <w:b w:val="0"/>
          <w:bCs/>
          <w:kern w:val="0"/>
          <w:szCs w:val="32"/>
        </w:rPr>
        <w:t>项目经济性分析</w:t>
      </w:r>
    </w:p>
    <w:p>
      <w:pPr>
        <w:snapToGrid w:val="0"/>
        <w:spacing w:line="560" w:lineRule="exact"/>
        <w:ind w:firstLine="594" w:firstLineChars="200"/>
        <w:rPr>
          <w:rFonts w:ascii="Times New Roman" w:hAnsi="Times New Roman"/>
          <w:kern w:val="0"/>
          <w:szCs w:val="32"/>
        </w:rPr>
      </w:pPr>
      <w:r>
        <w:rPr>
          <w:rFonts w:ascii="Times New Roman" w:hAnsi="Times New Roman"/>
          <w:color w:val="auto"/>
          <w:kern w:val="0"/>
          <w:szCs w:val="32"/>
        </w:rPr>
        <w:t>20</w:t>
      </w:r>
      <w:r>
        <w:rPr>
          <w:rFonts w:hint="eastAsia" w:ascii="Times New Roman" w:hAnsi="Times New Roman"/>
          <w:color w:val="auto"/>
          <w:kern w:val="0"/>
          <w:szCs w:val="32"/>
        </w:rPr>
        <w:t>2</w:t>
      </w:r>
      <w:r>
        <w:rPr>
          <w:rFonts w:hint="eastAsia" w:ascii="Times New Roman" w:hAnsi="Times New Roman"/>
          <w:color w:val="auto"/>
          <w:kern w:val="0"/>
          <w:szCs w:val="32"/>
          <w:lang w:val="en-US" w:eastAsia="zh-CN"/>
        </w:rPr>
        <w:t>1</w:t>
      </w:r>
      <w:r>
        <w:rPr>
          <w:rFonts w:hint="eastAsia" w:ascii="Times New Roman" w:hAnsi="Times New Roman"/>
          <w:color w:val="auto"/>
          <w:kern w:val="0"/>
          <w:szCs w:val="32"/>
        </w:rPr>
        <w:t>年，</w:t>
      </w:r>
      <w:r>
        <w:rPr>
          <w:rFonts w:hint="eastAsia" w:ascii="Times New Roman" w:hAnsi="Times New Roman"/>
          <w:kern w:val="0"/>
          <w:szCs w:val="32"/>
        </w:rPr>
        <w:t>对照党支部规范化建设标准，吴家营街道严格控制项目成本（预算），按时完成了街道基层党建工作各项任务。</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2</w:t>
      </w:r>
      <w:r>
        <w:rPr>
          <w:rFonts w:ascii="Times New Roman" w:hAnsi="Times New Roman"/>
          <w:b w:val="0"/>
          <w:bCs/>
          <w:kern w:val="0"/>
        </w:rPr>
        <w:t>.</w:t>
      </w:r>
      <w:r>
        <w:rPr>
          <w:rFonts w:hint="eastAsia" w:ascii="Times New Roman" w:hAnsi="Times New Roman"/>
          <w:b w:val="0"/>
          <w:bCs/>
          <w:kern w:val="0"/>
          <w:szCs w:val="32"/>
        </w:rPr>
        <w:t>项目的效率性分析</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通过开展党建工作</w:t>
      </w:r>
      <w:r>
        <w:rPr>
          <w:rFonts w:hint="eastAsia" w:ascii="Times New Roman" w:hAnsi="Times New Roman"/>
          <w:kern w:val="0"/>
          <w:szCs w:val="32"/>
          <w:lang w:eastAsia="zh-CN"/>
        </w:rPr>
        <w:t>开展</w:t>
      </w:r>
      <w:r>
        <w:rPr>
          <w:rFonts w:hint="eastAsia" w:ascii="Times New Roman" w:hAnsi="Times New Roman"/>
          <w:kern w:val="0"/>
          <w:szCs w:val="32"/>
        </w:rPr>
        <w:t>，社区党建工作经费使用公开、透明，服务群众效果显著。</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3</w:t>
      </w:r>
      <w:r>
        <w:rPr>
          <w:rFonts w:ascii="Times New Roman" w:hAnsi="Times New Roman"/>
          <w:b w:val="0"/>
          <w:bCs/>
          <w:kern w:val="0"/>
        </w:rPr>
        <w:t>.</w:t>
      </w:r>
      <w:r>
        <w:rPr>
          <w:rFonts w:hint="eastAsia" w:ascii="Times New Roman" w:hAnsi="Times New Roman"/>
          <w:b w:val="0"/>
          <w:bCs/>
          <w:kern w:val="0"/>
          <w:szCs w:val="32"/>
        </w:rPr>
        <w:t>项目的效益性分析</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通过开展党建工作，一切工作到支部的工作方式得到进一步巩固，全面从严治党工作落到实处。</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五、综合评价情况及评价结论</w:t>
      </w:r>
    </w:p>
    <w:p>
      <w:pPr>
        <w:snapToGrid w:val="0"/>
        <w:spacing w:line="560" w:lineRule="exact"/>
        <w:ind w:firstLine="594" w:firstLineChars="200"/>
        <w:rPr>
          <w:rFonts w:ascii="仿宋_GB2312" w:hAnsi="Times New Roman"/>
          <w:kern w:val="0"/>
          <w:szCs w:val="32"/>
        </w:rPr>
      </w:pP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1</w:t>
      </w:r>
      <w:r>
        <w:rPr>
          <w:rFonts w:hint="eastAsia" w:ascii="仿宋_GB2312" w:hAnsi="Times New Roman"/>
          <w:kern w:val="0"/>
          <w:szCs w:val="32"/>
        </w:rPr>
        <w:t>年，街道党建工作各项任务的落实让街道所属各基层党组织建设更加规范，通过创建规范化党组织活动，各基层党组织基础党务更加扎实到位，党建引领作用进一步增强，班子队伍进一步团结，群众满意度进一步提升；组织生活更加严格，“三会一课”逐步规范，每月“主题党日”活动形式多样，通过实地参观学习、党课教育、志愿活动等多种形式，党员的身份意识和党性不断提高，先锋模范作用显著提升；党费收缴更加透明。</w:t>
      </w:r>
    </w:p>
    <w:p>
      <w:pPr>
        <w:topLinePunct/>
        <w:spacing w:line="560" w:lineRule="exact"/>
        <w:ind w:firstLine="594" w:firstLineChars="200"/>
        <w:rPr>
          <w:rFonts w:ascii="黑体" w:eastAsia="黑体"/>
          <w:szCs w:val="32"/>
        </w:rPr>
      </w:pPr>
      <w:r>
        <w:rPr>
          <w:rFonts w:hint="eastAsia" w:ascii="黑体" w:eastAsia="黑体"/>
          <w:szCs w:val="32"/>
        </w:rPr>
        <w:t>六、绩效评价结果应用建议</w:t>
      </w:r>
    </w:p>
    <w:p>
      <w:pPr>
        <w:spacing w:line="560" w:lineRule="exact"/>
        <w:rPr>
          <w:rFonts w:ascii="仿宋_GB2312" w:hAnsi="宋体"/>
          <w:szCs w:val="32"/>
        </w:rPr>
      </w:pPr>
      <w:r>
        <w:rPr>
          <w:rFonts w:ascii="仿宋_GB2312" w:hAnsi="宋体"/>
          <w:szCs w:val="32"/>
        </w:rPr>
        <w:t xml:space="preserve">    </w:t>
      </w:r>
      <w:r>
        <w:rPr>
          <w:rFonts w:hint="eastAsia" w:ascii="仿宋_GB2312" w:hAnsi="宋体"/>
          <w:szCs w:val="32"/>
        </w:rPr>
        <w:t>为下一年年度预算提供依据。</w:t>
      </w:r>
    </w:p>
    <w:p>
      <w:pPr>
        <w:snapToGrid w:val="0"/>
        <w:spacing w:line="560" w:lineRule="exact"/>
        <w:ind w:firstLine="594" w:firstLineChars="200"/>
        <w:rPr>
          <w:rFonts w:ascii="黑体" w:hAnsi="黑体" w:eastAsia="黑体"/>
          <w:kern w:val="0"/>
          <w:szCs w:val="32"/>
        </w:rPr>
      </w:pPr>
      <w:r>
        <w:rPr>
          <w:rFonts w:hint="eastAsia" w:ascii="黑体" w:eastAsia="黑体"/>
          <w:szCs w:val="32"/>
        </w:rPr>
        <w:t>七、主要经验及做法、</w:t>
      </w:r>
      <w:r>
        <w:rPr>
          <w:rFonts w:hint="eastAsia" w:ascii="黑体" w:hAnsi="黑体" w:eastAsia="黑体"/>
          <w:kern w:val="0"/>
          <w:szCs w:val="32"/>
        </w:rPr>
        <w:t>存在的问题和建议</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无。</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八、其他需要说明的问题</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无。</w:t>
      </w:r>
    </w:p>
    <w:p>
      <w:pPr>
        <w:snapToGrid w:val="0"/>
        <w:spacing w:line="560" w:lineRule="exact"/>
        <w:ind w:firstLine="594" w:firstLineChars="200"/>
        <w:rPr>
          <w:rFonts w:ascii="Times New Roman" w:hAnsi="Times New Roman"/>
          <w:kern w:val="0"/>
          <w:szCs w:val="32"/>
        </w:rPr>
      </w:pPr>
    </w:p>
    <w:p>
      <w:pPr>
        <w:snapToGrid w:val="0"/>
        <w:spacing w:line="560" w:lineRule="exact"/>
        <w:ind w:firstLine="594" w:firstLineChars="200"/>
        <w:rPr>
          <w:rFonts w:ascii="Times New Roman" w:hAnsi="Times New Roman"/>
          <w:kern w:val="0"/>
          <w:szCs w:val="32"/>
        </w:rPr>
      </w:pPr>
    </w:p>
    <w:sectPr>
      <w:footerReference r:id="rId3" w:type="default"/>
      <w:footerReference r:id="rId4" w:type="even"/>
      <w:pgSz w:w="11906" w:h="16838"/>
      <w:pgMar w:top="2098" w:right="1531" w:bottom="1985" w:left="1531"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26" w:y="35"/>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HorizontalSpacing w:val="297"/>
  <w:drawingGridVerticalSpacing w:val="304"/>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Mjc2YTQwYjhiYzc0MTZiZThiZDBjNTNjZGM0NDIifQ=="/>
  </w:docVars>
  <w:rsids>
    <w:rsidRoot w:val="00875293"/>
    <w:rsid w:val="00011EB5"/>
    <w:rsid w:val="00021B28"/>
    <w:rsid w:val="00074237"/>
    <w:rsid w:val="000A4283"/>
    <w:rsid w:val="000D5B3F"/>
    <w:rsid w:val="0012724E"/>
    <w:rsid w:val="00130838"/>
    <w:rsid w:val="001529D1"/>
    <w:rsid w:val="00163ECD"/>
    <w:rsid w:val="001739E1"/>
    <w:rsid w:val="0017587F"/>
    <w:rsid w:val="0019473F"/>
    <w:rsid w:val="001B0FFA"/>
    <w:rsid w:val="001D3755"/>
    <w:rsid w:val="001D7A90"/>
    <w:rsid w:val="002256AD"/>
    <w:rsid w:val="0023258E"/>
    <w:rsid w:val="00237E96"/>
    <w:rsid w:val="002501D5"/>
    <w:rsid w:val="00253189"/>
    <w:rsid w:val="002551B3"/>
    <w:rsid w:val="00260236"/>
    <w:rsid w:val="002630F4"/>
    <w:rsid w:val="00276506"/>
    <w:rsid w:val="002C69B0"/>
    <w:rsid w:val="002E7CA4"/>
    <w:rsid w:val="00314789"/>
    <w:rsid w:val="0033322B"/>
    <w:rsid w:val="0035168B"/>
    <w:rsid w:val="00353A10"/>
    <w:rsid w:val="003651DF"/>
    <w:rsid w:val="00373D2C"/>
    <w:rsid w:val="0037796C"/>
    <w:rsid w:val="003A281F"/>
    <w:rsid w:val="00423413"/>
    <w:rsid w:val="00435E00"/>
    <w:rsid w:val="00486ACC"/>
    <w:rsid w:val="004C3A46"/>
    <w:rsid w:val="004D1A8A"/>
    <w:rsid w:val="004E162E"/>
    <w:rsid w:val="004E6220"/>
    <w:rsid w:val="004F2B56"/>
    <w:rsid w:val="004F767C"/>
    <w:rsid w:val="005231B1"/>
    <w:rsid w:val="00565C63"/>
    <w:rsid w:val="005806C4"/>
    <w:rsid w:val="005A7DB6"/>
    <w:rsid w:val="005D0D00"/>
    <w:rsid w:val="005D2587"/>
    <w:rsid w:val="005E0EBB"/>
    <w:rsid w:val="005E1E4C"/>
    <w:rsid w:val="005F0504"/>
    <w:rsid w:val="00624A86"/>
    <w:rsid w:val="006252A7"/>
    <w:rsid w:val="006323C4"/>
    <w:rsid w:val="00633E97"/>
    <w:rsid w:val="00643BDD"/>
    <w:rsid w:val="00645050"/>
    <w:rsid w:val="00646314"/>
    <w:rsid w:val="0065493B"/>
    <w:rsid w:val="00685C2C"/>
    <w:rsid w:val="006B395E"/>
    <w:rsid w:val="006B5487"/>
    <w:rsid w:val="006B571F"/>
    <w:rsid w:val="006C1370"/>
    <w:rsid w:val="006D4D86"/>
    <w:rsid w:val="0072497C"/>
    <w:rsid w:val="007348FD"/>
    <w:rsid w:val="0073752B"/>
    <w:rsid w:val="00746F9F"/>
    <w:rsid w:val="00782B9B"/>
    <w:rsid w:val="007C1BA0"/>
    <w:rsid w:val="007C4065"/>
    <w:rsid w:val="007D062E"/>
    <w:rsid w:val="007E3B3A"/>
    <w:rsid w:val="00806606"/>
    <w:rsid w:val="00821B7D"/>
    <w:rsid w:val="008342D8"/>
    <w:rsid w:val="00842C98"/>
    <w:rsid w:val="0085304A"/>
    <w:rsid w:val="008559A6"/>
    <w:rsid w:val="00860765"/>
    <w:rsid w:val="0086130C"/>
    <w:rsid w:val="00861A91"/>
    <w:rsid w:val="00863038"/>
    <w:rsid w:val="0087249A"/>
    <w:rsid w:val="00875293"/>
    <w:rsid w:val="00880BD2"/>
    <w:rsid w:val="008A6F0F"/>
    <w:rsid w:val="008A7E47"/>
    <w:rsid w:val="008C7A72"/>
    <w:rsid w:val="008D081C"/>
    <w:rsid w:val="00902BF8"/>
    <w:rsid w:val="00904A92"/>
    <w:rsid w:val="00911792"/>
    <w:rsid w:val="009358DE"/>
    <w:rsid w:val="00951463"/>
    <w:rsid w:val="009933F7"/>
    <w:rsid w:val="009A336F"/>
    <w:rsid w:val="009D661C"/>
    <w:rsid w:val="009D783B"/>
    <w:rsid w:val="009F6C79"/>
    <w:rsid w:val="00A12033"/>
    <w:rsid w:val="00A170B3"/>
    <w:rsid w:val="00A71156"/>
    <w:rsid w:val="00AE4033"/>
    <w:rsid w:val="00B1257A"/>
    <w:rsid w:val="00B405BD"/>
    <w:rsid w:val="00B6691F"/>
    <w:rsid w:val="00B8383C"/>
    <w:rsid w:val="00B84483"/>
    <w:rsid w:val="00BA1709"/>
    <w:rsid w:val="00C02621"/>
    <w:rsid w:val="00C06CD8"/>
    <w:rsid w:val="00C2298E"/>
    <w:rsid w:val="00C33BA3"/>
    <w:rsid w:val="00C35690"/>
    <w:rsid w:val="00C81232"/>
    <w:rsid w:val="00CA287C"/>
    <w:rsid w:val="00CA3D21"/>
    <w:rsid w:val="00CA4F83"/>
    <w:rsid w:val="00CB0527"/>
    <w:rsid w:val="00CB194E"/>
    <w:rsid w:val="00CC4D03"/>
    <w:rsid w:val="00CD1998"/>
    <w:rsid w:val="00CD7A33"/>
    <w:rsid w:val="00CE2294"/>
    <w:rsid w:val="00CE48FB"/>
    <w:rsid w:val="00D01FD7"/>
    <w:rsid w:val="00D04507"/>
    <w:rsid w:val="00D3336C"/>
    <w:rsid w:val="00D37813"/>
    <w:rsid w:val="00D83E3F"/>
    <w:rsid w:val="00DA2DC0"/>
    <w:rsid w:val="00DB5F29"/>
    <w:rsid w:val="00DD3921"/>
    <w:rsid w:val="00DD452F"/>
    <w:rsid w:val="00DE4C80"/>
    <w:rsid w:val="00E14233"/>
    <w:rsid w:val="00E672CB"/>
    <w:rsid w:val="00E72ACF"/>
    <w:rsid w:val="00E952F8"/>
    <w:rsid w:val="00EA11D5"/>
    <w:rsid w:val="00EC0330"/>
    <w:rsid w:val="00EC38AA"/>
    <w:rsid w:val="00EF1D70"/>
    <w:rsid w:val="00F13463"/>
    <w:rsid w:val="00F34A2F"/>
    <w:rsid w:val="00F54B7A"/>
    <w:rsid w:val="00F67BA8"/>
    <w:rsid w:val="00F67E5F"/>
    <w:rsid w:val="00F76055"/>
    <w:rsid w:val="00F8290B"/>
    <w:rsid w:val="00F852D9"/>
    <w:rsid w:val="00FC624F"/>
    <w:rsid w:val="00FC73D1"/>
    <w:rsid w:val="05AE36CA"/>
    <w:rsid w:val="0CA40CD3"/>
    <w:rsid w:val="1E1D0033"/>
    <w:rsid w:val="202F313E"/>
    <w:rsid w:val="21F47F6E"/>
    <w:rsid w:val="378A5996"/>
    <w:rsid w:val="3A0F1524"/>
    <w:rsid w:val="3EF77B8C"/>
    <w:rsid w:val="473A4050"/>
    <w:rsid w:val="4E28351D"/>
    <w:rsid w:val="5A3C6978"/>
    <w:rsid w:val="62474E4E"/>
    <w:rsid w:val="67600811"/>
    <w:rsid w:val="6DD473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link w:val="17"/>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eastAsia="宋体"/>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Times New Roman" w:hAnsi="Times New Roman" w:eastAsia="宋体"/>
      <w:kern w:val="0"/>
      <w:sz w:val="24"/>
      <w:szCs w:val="20"/>
    </w:rPr>
  </w:style>
  <w:style w:type="character" w:styleId="10">
    <w:name w:val="Strong"/>
    <w:basedOn w:val="9"/>
    <w:qFormat/>
    <w:uiPriority w:val="99"/>
    <w:rPr>
      <w:rFonts w:cs="Times New Roman"/>
      <w:b/>
    </w:rPr>
  </w:style>
  <w:style w:type="character" w:styleId="11">
    <w:name w:val="page number"/>
    <w:basedOn w:val="9"/>
    <w:uiPriority w:val="99"/>
    <w:rPr>
      <w:rFonts w:cs="Times New Roman"/>
    </w:rPr>
  </w:style>
  <w:style w:type="character" w:customStyle="1" w:styleId="12">
    <w:name w:val="Heading 1 Char"/>
    <w:basedOn w:val="9"/>
    <w:link w:val="4"/>
    <w:locked/>
    <w:uiPriority w:val="99"/>
    <w:rPr>
      <w:rFonts w:eastAsia="仿宋_GB2312" w:cs="Times New Roman"/>
      <w:b/>
      <w:bCs/>
      <w:kern w:val="44"/>
      <w:sz w:val="44"/>
      <w:szCs w:val="44"/>
    </w:rPr>
  </w:style>
  <w:style w:type="character" w:customStyle="1" w:styleId="13">
    <w:name w:val="页脚 Char"/>
    <w:basedOn w:val="9"/>
    <w:link w:val="5"/>
    <w:locked/>
    <w:uiPriority w:val="99"/>
    <w:rPr>
      <w:rFonts w:eastAsia="仿宋_GB2312" w:cs="Times New Roman"/>
      <w:kern w:val="2"/>
      <w:sz w:val="18"/>
      <w:szCs w:val="18"/>
    </w:rPr>
  </w:style>
  <w:style w:type="character" w:customStyle="1" w:styleId="14">
    <w:name w:val="页眉 Char"/>
    <w:basedOn w:val="9"/>
    <w:link w:val="6"/>
    <w:locked/>
    <w:uiPriority w:val="99"/>
    <w:rPr>
      <w:rFonts w:eastAsia="仿宋_GB2312" w:cs="Times New Roman"/>
      <w:kern w:val="2"/>
      <w:sz w:val="18"/>
      <w:szCs w:val="18"/>
    </w:rPr>
  </w:style>
  <w:style w:type="paragraph" w:customStyle="1" w:styleId="15">
    <w:name w:val="Char"/>
    <w:basedOn w:val="1"/>
    <w:semiHidden/>
    <w:uiPriority w:val="99"/>
    <w:rPr>
      <w:rFonts w:ascii="Times New Roman" w:hAnsi="Times New Roman" w:eastAsia="宋体"/>
      <w:sz w:val="21"/>
      <w:szCs w:val="24"/>
    </w:rPr>
  </w:style>
  <w:style w:type="paragraph" w:styleId="16">
    <w:name w:val="List Paragraph"/>
    <w:basedOn w:val="1"/>
    <w:qFormat/>
    <w:uiPriority w:val="99"/>
    <w:pPr>
      <w:ind w:firstLine="420" w:firstLineChars="200"/>
    </w:pPr>
  </w:style>
  <w:style w:type="character" w:customStyle="1" w:styleId="17">
    <w:name w:val="标题 1 Char"/>
    <w:basedOn w:val="9"/>
    <w:link w:val="4"/>
    <w:locked/>
    <w:uiPriority w:val="99"/>
    <w:rPr>
      <w:rFonts w:eastAsia="宋体" w:cs="Times New Roman"/>
      <w:b/>
      <w:bCs/>
      <w:kern w:val="44"/>
      <w:sz w:val="44"/>
      <w:szCs w:val="44"/>
      <w:lang w:val="en-US" w:eastAsia="zh-CN" w:bidi="ar-SA"/>
    </w:rPr>
  </w:style>
  <w:style w:type="character" w:customStyle="1" w:styleId="18">
    <w:name w:val="16"/>
    <w:basedOn w:val="9"/>
    <w:uiPriority w:val="0"/>
    <w:rPr>
      <w:rFonts w:hint="default"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2800</Words>
  <Characters>2873</Characters>
  <Lines>21</Lines>
  <Paragraphs>6</Paragraphs>
  <TotalTime>4</TotalTime>
  <ScaleCrop>false</ScaleCrop>
  <LinksUpToDate>false</LinksUpToDate>
  <CharactersWithSpaces>2918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2020-01-03T09:25:00Z</dcterms:created>
  <dc:creator>jyjcg</dc:creator>
  <cp:lastModifiedBy>Administrator</cp:lastModifiedBy>
  <cp:lastPrinted>2018-04-25T06:14:00Z</cp:lastPrinted>
  <dcterms:modified xsi:type="dcterms:W3CDTF">2023-08-16T09:43:43Z</dcterms:modified>
  <dc:title>吴家营街道办事处</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0059DE418AF449D8BE1D6EDE1A6B0B8A</vt:lpwstr>
  </property>
</Properties>
</file>