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spacing w:beforeAutospacing="0" w:afterAutospacing="0" w:line="580" w:lineRule="exact"/>
        <w:ind w:left="0" w:leftChars="0" w:right="0"/>
        <w:jc w:val="center"/>
        <w:outlineLvl w:val="9"/>
        <w:rPr>
          <w:rFonts w:hint="eastAsia" w:ascii="方正小标宋简体" w:hAnsi="方正小标宋简体" w:eastAsia="方正小标宋简体" w:cs="方正小标宋简体"/>
          <w:b/>
          <w:bCs/>
          <w:color w:val="auto"/>
          <w:kern w:val="0"/>
          <w:sz w:val="44"/>
          <w:szCs w:val="44"/>
        </w:rPr>
      </w:pPr>
      <w:r>
        <w:rPr>
          <w:rFonts w:hint="eastAsia" w:ascii="方正小标宋简体" w:hAnsi="方正小标宋简体" w:eastAsia="方正小标宋简体" w:cs="方正小标宋简体"/>
          <w:b/>
          <w:bCs/>
          <w:color w:val="auto"/>
          <w:kern w:val="0"/>
          <w:sz w:val="44"/>
          <w:szCs w:val="44"/>
          <w:lang w:eastAsia="zh-CN"/>
        </w:rPr>
        <w:t>202</w:t>
      </w:r>
      <w:r>
        <w:rPr>
          <w:rFonts w:hint="eastAsia" w:ascii="方正小标宋简体" w:hAnsi="方正小标宋简体" w:eastAsia="方正小标宋简体" w:cs="方正小标宋简体"/>
          <w:b/>
          <w:bCs/>
          <w:color w:val="auto"/>
          <w:kern w:val="0"/>
          <w:sz w:val="44"/>
          <w:szCs w:val="44"/>
          <w:lang w:val="en-US" w:eastAsia="zh-CN"/>
        </w:rPr>
        <w:t>1</w:t>
      </w:r>
      <w:r>
        <w:rPr>
          <w:rFonts w:hint="eastAsia" w:ascii="方正小标宋简体" w:hAnsi="方正小标宋简体" w:eastAsia="方正小标宋简体" w:cs="方正小标宋简体"/>
          <w:b/>
          <w:bCs/>
          <w:color w:val="auto"/>
          <w:kern w:val="0"/>
          <w:sz w:val="44"/>
          <w:szCs w:val="44"/>
        </w:rPr>
        <w:t>年度昆明市公安局呈贡分局</w:t>
      </w:r>
    </w:p>
    <w:p>
      <w:pPr>
        <w:widowControl/>
        <w:wordWrap/>
        <w:spacing w:beforeAutospacing="0" w:afterAutospacing="0" w:line="580" w:lineRule="exact"/>
        <w:ind w:left="0" w:leftChars="0" w:right="0"/>
        <w:jc w:val="center"/>
        <w:outlineLvl w:val="9"/>
        <w:rPr>
          <w:rFonts w:hint="eastAsia" w:ascii="方正小标宋简体" w:hAnsi="方正小标宋简体" w:eastAsia="方正小标宋简体" w:cs="方正小标宋简体"/>
          <w:b/>
          <w:bCs/>
          <w:color w:val="auto"/>
          <w:kern w:val="0"/>
          <w:sz w:val="44"/>
          <w:szCs w:val="44"/>
        </w:rPr>
      </w:pPr>
      <w:r>
        <w:rPr>
          <w:rFonts w:hint="eastAsia" w:ascii="方正小标宋简体" w:hAnsi="方正小标宋简体" w:eastAsia="方正小标宋简体" w:cs="方正小标宋简体"/>
          <w:b/>
          <w:bCs/>
          <w:color w:val="auto"/>
          <w:sz w:val="44"/>
          <w:szCs w:val="44"/>
        </w:rPr>
        <w:t>整体支出绩效评价报告</w:t>
      </w:r>
    </w:p>
    <w:p>
      <w:pPr>
        <w:widowControl/>
        <w:wordWrap/>
        <w:overflowPunct w:val="0"/>
        <w:autoSpaceDE w:val="0"/>
        <w:autoSpaceDN w:val="0"/>
        <w:adjustRightInd w:val="0"/>
        <w:spacing w:beforeAutospacing="0" w:afterAutospacing="0" w:line="580" w:lineRule="exact"/>
        <w:ind w:left="0" w:leftChars="0" w:right="0" w:firstLine="482" w:firstLineChars="150"/>
        <w:outlineLvl w:val="9"/>
        <w:rPr>
          <w:rFonts w:hint="default" w:ascii="Times New Roman" w:hAnsi="Times New Roman" w:eastAsia="黑体" w:cs="Times New Roman"/>
          <w:b/>
          <w:bCs/>
          <w:color w:val="auto"/>
          <w:kern w:val="44"/>
          <w:sz w:val="32"/>
          <w:szCs w:val="32"/>
        </w:rPr>
      </w:pPr>
      <w:bookmarkStart w:id="0" w:name="_Toc399660434"/>
      <w:bookmarkEnd w:id="0"/>
    </w:p>
    <w:p>
      <w:pPr>
        <w:widowControl/>
        <w:wordWrap/>
        <w:overflowPunct w:val="0"/>
        <w:autoSpaceDE w:val="0"/>
        <w:autoSpaceDN w:val="0"/>
        <w:adjustRightInd w:val="0"/>
        <w:spacing w:beforeAutospacing="0" w:afterAutospacing="0" w:line="580" w:lineRule="exact"/>
        <w:ind w:left="0" w:leftChars="0" w:right="0" w:firstLine="482" w:firstLineChars="150"/>
        <w:outlineLvl w:val="9"/>
        <w:rPr>
          <w:rFonts w:hint="default" w:ascii="Times New Roman" w:hAnsi="Times New Roman" w:eastAsia="黑体" w:cs="Times New Roman"/>
          <w:b/>
          <w:bCs/>
          <w:color w:val="auto"/>
          <w:kern w:val="0"/>
          <w:sz w:val="32"/>
          <w:szCs w:val="32"/>
        </w:rPr>
      </w:pPr>
      <w:r>
        <w:rPr>
          <w:rFonts w:hint="default" w:ascii="Times New Roman" w:hAnsi="Times New Roman" w:eastAsia="黑体" w:cs="Times New Roman"/>
          <w:b/>
          <w:bCs/>
          <w:color w:val="auto"/>
          <w:kern w:val="44"/>
          <w:sz w:val="32"/>
          <w:szCs w:val="32"/>
        </w:rPr>
        <w:t>一、</w:t>
      </w:r>
      <w:r>
        <w:rPr>
          <w:rFonts w:hint="default" w:ascii="Times New Roman" w:hAnsi="Times New Roman" w:eastAsia="黑体" w:cs="Times New Roman"/>
          <w:b/>
          <w:bCs/>
          <w:color w:val="auto"/>
          <w:kern w:val="0"/>
          <w:sz w:val="32"/>
          <w:szCs w:val="32"/>
        </w:rPr>
        <w:t>基本情况</w:t>
      </w:r>
    </w:p>
    <w:p>
      <w:pPr>
        <w:widowControl/>
        <w:wordWrap/>
        <w:overflowPunct w:val="0"/>
        <w:autoSpaceDE w:val="0"/>
        <w:autoSpaceDN w:val="0"/>
        <w:adjustRightInd w:val="0"/>
        <w:spacing w:beforeAutospacing="0" w:afterAutospacing="0" w:line="580" w:lineRule="exact"/>
        <w:ind w:left="0" w:leftChars="0" w:right="0" w:firstLine="480" w:firstLineChars="150"/>
        <w:outlineLvl w:val="9"/>
        <w:rPr>
          <w:rFonts w:hint="default" w:ascii="Times New Roman" w:hAnsi="Times New Roman" w:eastAsia="楷体" w:cs="Times New Roman"/>
          <w:bCs/>
          <w:color w:val="auto"/>
          <w:sz w:val="32"/>
          <w:szCs w:val="32"/>
        </w:rPr>
      </w:pPr>
      <w:r>
        <w:rPr>
          <w:rFonts w:hint="default" w:ascii="Times New Roman" w:hAnsi="Times New Roman" w:eastAsia="楷体" w:cs="Times New Roman"/>
          <w:bCs/>
          <w:color w:val="auto"/>
          <w:sz w:val="32"/>
          <w:szCs w:val="32"/>
        </w:rPr>
        <w:t>（一）部门整体支出概况，年度部门决算收支完成情况，包括收入构成、支出构成、年初预算完成率、当年收支平衡和年终结转结余情况等。</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bookmarkStart w:id="1" w:name="_Toc399660439"/>
      <w:bookmarkEnd w:id="1"/>
      <w:r>
        <w:rPr>
          <w:rFonts w:hint="default" w:ascii="Times New Roman" w:hAnsi="Times New Roman" w:eastAsia="仿宋_GB2312" w:cs="Times New Roman"/>
          <w:color w:val="auto"/>
          <w:sz w:val="32"/>
          <w:szCs w:val="32"/>
        </w:rPr>
        <w:t>根据昆明市呈贡区财政局《关于下达</w:t>
      </w:r>
      <w:r>
        <w:rPr>
          <w:rFonts w:hint="eastAsia" w:ascii="Times New Roman" w:hAnsi="Times New Roman" w:cs="Times New Roman"/>
          <w:color w:val="auto"/>
          <w:sz w:val="32"/>
          <w:szCs w:val="32"/>
          <w:lang w:eastAsia="zh-CN"/>
        </w:rPr>
        <w:t>2021</w:t>
      </w:r>
      <w:r>
        <w:rPr>
          <w:rFonts w:hint="default" w:ascii="Times New Roman" w:hAnsi="Times New Roman" w:eastAsia="仿宋_GB2312" w:cs="Times New Roman"/>
          <w:color w:val="auto"/>
          <w:sz w:val="32"/>
          <w:szCs w:val="32"/>
        </w:rPr>
        <w:t>年部门预算批复的通知》（呈财行【</w:t>
      </w:r>
      <w:r>
        <w:rPr>
          <w:rFonts w:hint="eastAsia" w:ascii="Times New Roman" w:hAnsi="Times New Roman" w:cs="Times New Roman"/>
          <w:color w:val="auto"/>
          <w:sz w:val="32"/>
          <w:szCs w:val="32"/>
          <w:lang w:eastAsia="zh-CN"/>
        </w:rPr>
        <w:t>2021</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val="en-US" w:eastAsia="zh-CN"/>
        </w:rPr>
        <w:t>78</w:t>
      </w:r>
      <w:r>
        <w:rPr>
          <w:rFonts w:hint="default" w:ascii="Times New Roman" w:hAnsi="Times New Roman" w:eastAsia="仿宋_GB2312" w:cs="Times New Roman"/>
          <w:color w:val="auto"/>
          <w:sz w:val="32"/>
          <w:szCs w:val="32"/>
        </w:rPr>
        <w:t>）号、《关于下达</w:t>
      </w:r>
      <w:r>
        <w:rPr>
          <w:rFonts w:hint="eastAsia" w:ascii="Times New Roman" w:hAnsi="Times New Roman" w:cs="Times New Roman"/>
          <w:color w:val="auto"/>
          <w:sz w:val="32"/>
          <w:szCs w:val="32"/>
          <w:lang w:eastAsia="zh-CN"/>
        </w:rPr>
        <w:t>2021</w:t>
      </w:r>
      <w:r>
        <w:rPr>
          <w:rFonts w:hint="default" w:ascii="Times New Roman" w:hAnsi="Times New Roman" w:eastAsia="仿宋_GB2312" w:cs="Times New Roman"/>
          <w:color w:val="auto"/>
          <w:sz w:val="32"/>
          <w:szCs w:val="32"/>
        </w:rPr>
        <w:t>年部门预算调整批复的通知》（呈财行【</w:t>
      </w:r>
      <w:r>
        <w:rPr>
          <w:rFonts w:hint="eastAsia" w:ascii="Times New Roman" w:hAnsi="Times New Roman" w:cs="Times New Roman"/>
          <w:color w:val="auto"/>
          <w:sz w:val="32"/>
          <w:szCs w:val="32"/>
          <w:lang w:eastAsia="zh-CN"/>
        </w:rPr>
        <w:t>2021</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val="en-US" w:eastAsia="zh-CN"/>
        </w:rPr>
        <w:t>152</w:t>
      </w:r>
      <w:r>
        <w:rPr>
          <w:rFonts w:hint="default" w:ascii="Times New Roman" w:hAnsi="Times New Roman" w:eastAsia="仿宋_GB2312" w:cs="Times New Roman"/>
          <w:color w:val="auto"/>
          <w:sz w:val="32"/>
          <w:szCs w:val="32"/>
        </w:rPr>
        <w:t>）号文件,我局</w:t>
      </w:r>
      <w:r>
        <w:rPr>
          <w:rFonts w:hint="default"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年资金具体为</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本年下达预算指标收入</w:t>
      </w:r>
      <w:r>
        <w:rPr>
          <w:rFonts w:hint="eastAsia" w:ascii="Times New Roman" w:hAnsi="Times New Roman" w:eastAsia="仿宋_GB2312" w:cs="Times New Roman"/>
          <w:color w:val="auto"/>
          <w:sz w:val="32"/>
          <w:szCs w:val="32"/>
          <w:lang w:val="en-US" w:eastAsia="zh-CN"/>
        </w:rPr>
        <w:t>37364.61</w:t>
      </w:r>
      <w:r>
        <w:rPr>
          <w:rFonts w:hint="default"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rPr>
        <w:t>元，支出</w:t>
      </w:r>
      <w:r>
        <w:rPr>
          <w:rFonts w:hint="eastAsia" w:ascii="Times New Roman" w:hAnsi="Times New Roman" w:eastAsia="仿宋_GB2312" w:cs="Times New Roman"/>
          <w:color w:val="auto"/>
          <w:sz w:val="32"/>
          <w:szCs w:val="32"/>
          <w:lang w:val="en-US" w:eastAsia="zh-CN"/>
        </w:rPr>
        <w:t>37364.61</w:t>
      </w:r>
      <w:r>
        <w:rPr>
          <w:rFonts w:hint="default"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rPr>
        <w:t>元。</w:t>
      </w:r>
    </w:p>
    <w:p>
      <w:pPr>
        <w:wordWrap/>
        <w:topLinePunct/>
        <w:spacing w:beforeAutospacing="0" w:afterAutospacing="0" w:line="580" w:lineRule="exact"/>
        <w:ind w:left="0" w:leftChars="0" w:right="0" w:firstLine="480" w:firstLineChars="150"/>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部门整体支出绩效目标，主要包括区委、区政府或上级主管部门绩效考核的个性指标、预决算公开、存量资金管理、资产管理、三公经费控制、内部管理制度建设等的设定及完成情况，项目绩效总目标和阶段性目标完成情况及预期经济、社会效益等。</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绩效目标</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(1)依法预防、制止和侦查违法犯罪活动。</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(2)维护社会稳定，维护社会治安秩序，制止危害社会治安秩序的行为。</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(3)维护国家安全，确保社会稳定，保护人民，服务经济社会发展。</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(4)管理枪支弹药、管制刀具和易燃易爆、剧毒、放射性等危险物品。</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(5)管理集会、游行、示威活动，处置突发性案（事）件。</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(6)管理计算机信息系统的安全保护工作。</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(7)管理户政、国籍、出入境事务和外国人在境内旅行、居留的相关事务。</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(8)警卫规定的特定人员，守卫重要场所和设施。</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(9)对被判处管制、拘役、剥夺政治权利的罪犯和监外执行的罪犯执行刑罚，对被宣告缓刑、假释的罪犯实行监督、考察。</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(10)领导区公安消防、警卫现役部队建设及消防工作。</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(11)履行法律、法规规定的其他职责。</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(12)承办呈贡区委、区政府和上级公安机关交办的其他事项。</w:t>
      </w:r>
    </w:p>
    <w:p>
      <w:pPr>
        <w:pStyle w:val="4"/>
        <w:wordWrap/>
        <w:snapToGrid w:val="0"/>
        <w:spacing w:before="0" w:beforeAutospacing="0" w:after="0" w:afterAutospacing="0" w:line="580" w:lineRule="exact"/>
        <w:ind w:left="0" w:leftChars="0" w:right="0" w:firstLine="640" w:firstLineChars="200"/>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预决算公开</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年分局的预算已经按要求在网上进行了公开，决算</w:t>
      </w:r>
      <w:r>
        <w:rPr>
          <w:rFonts w:hint="default" w:ascii="Times New Roman" w:hAnsi="Times New Roman" w:eastAsia="仿宋_GB2312" w:cs="Times New Roman"/>
          <w:color w:val="auto"/>
          <w:sz w:val="32"/>
          <w:szCs w:val="32"/>
          <w:lang w:eastAsia="zh-CN"/>
        </w:rPr>
        <w:t>已经上报</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color w:val="auto"/>
          <w:sz w:val="32"/>
          <w:szCs w:val="32"/>
          <w:lang w:eastAsia="zh-CN"/>
        </w:rPr>
        <w:t>待</w:t>
      </w:r>
      <w:r>
        <w:rPr>
          <w:rFonts w:hint="default" w:ascii="Times New Roman" w:hAnsi="Times New Roman" w:eastAsia="仿宋_GB2312" w:cs="Times New Roman"/>
          <w:color w:val="auto"/>
          <w:sz w:val="32"/>
          <w:szCs w:val="32"/>
        </w:rPr>
        <w:t>批复。</w:t>
      </w:r>
    </w:p>
    <w:p>
      <w:pPr>
        <w:pStyle w:val="4"/>
        <w:wordWrap/>
        <w:snapToGrid w:val="0"/>
        <w:spacing w:before="0" w:beforeAutospacing="0" w:after="0" w:afterAutospacing="0" w:line="580" w:lineRule="exact"/>
        <w:ind w:left="0" w:leftChars="0" w:right="0" w:firstLine="640" w:firstLineChars="200"/>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val="0"/>
          <w:bCs/>
          <w:color w:val="auto"/>
          <w:sz w:val="32"/>
          <w:szCs w:val="32"/>
        </w:rPr>
        <w:t>3</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存量资金</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Cs/>
          <w:color w:val="auto"/>
          <w:sz w:val="32"/>
          <w:szCs w:val="32"/>
          <w:lang w:eastAsia="zh-CN"/>
        </w:rPr>
        <w:t>202</w:t>
      </w: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年呈贡公安分局积极盘活财政存量资金，加强资金管理，严格按照区财政局要求，于每月</w:t>
      </w:r>
      <w:r>
        <w:rPr>
          <w:rFonts w:hint="eastAsia" w:ascii="Times New Roman" w:hAnsi="Times New Roman" w:eastAsia="仿宋_GB2312" w:cs="Times New Roman"/>
          <w:bCs/>
          <w:color w:val="auto"/>
          <w:sz w:val="32"/>
          <w:szCs w:val="32"/>
          <w:lang w:eastAsia="zh-CN"/>
        </w:rPr>
        <w:t>按时</w:t>
      </w:r>
      <w:r>
        <w:rPr>
          <w:rFonts w:hint="default" w:ascii="Times New Roman" w:hAnsi="Times New Roman" w:eastAsia="仿宋_GB2312" w:cs="Times New Roman"/>
          <w:bCs/>
          <w:color w:val="auto"/>
          <w:sz w:val="32"/>
          <w:szCs w:val="32"/>
        </w:rPr>
        <w:t>报送呈贡区财政存量资金相关报表及分析报告，争取盘活存量资金，加强资金管理。提高财政资金的使用效率</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eastAsia="zh-CN"/>
        </w:rPr>
        <w:t>202</w:t>
      </w:r>
      <w:r>
        <w:rPr>
          <w:rFonts w:hint="eastAsia"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年度部门财政存量资金0元。</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color w:val="auto"/>
          <w:sz w:val="32"/>
          <w:szCs w:val="32"/>
        </w:rPr>
        <w:t>4</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资产管理情况</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color w:val="auto"/>
          <w:sz w:val="32"/>
          <w:szCs w:val="32"/>
        </w:rPr>
        <w:t>为规范固定资产管理，实现固定资产的优化配置，</w:t>
      </w:r>
      <w:r>
        <w:rPr>
          <w:rFonts w:hint="default" w:ascii="Times New Roman" w:hAnsi="Times New Roman" w:eastAsia="仿宋_GB2312" w:cs="Times New Roman"/>
          <w:color w:val="auto"/>
          <w:sz w:val="32"/>
          <w:szCs w:val="32"/>
          <w:lang w:eastAsia="zh-CN"/>
        </w:rPr>
        <w:t>在资产</w:t>
      </w:r>
      <w:r>
        <w:rPr>
          <w:rFonts w:hint="default" w:ascii="Times New Roman" w:hAnsi="Times New Roman" w:eastAsia="仿宋_GB2312" w:cs="Times New Roman"/>
          <w:color w:val="auto"/>
          <w:sz w:val="32"/>
          <w:szCs w:val="32"/>
          <w:highlight w:val="none"/>
        </w:rPr>
        <w:t>处置</w:t>
      </w:r>
      <w:r>
        <w:rPr>
          <w:rFonts w:hint="default" w:ascii="Times New Roman" w:hAnsi="Times New Roman" w:eastAsia="仿宋_GB2312" w:cs="Times New Roman"/>
          <w:color w:val="auto"/>
          <w:sz w:val="32"/>
          <w:szCs w:val="32"/>
          <w:highlight w:val="none"/>
          <w:lang w:eastAsia="zh-CN"/>
        </w:rPr>
        <w:t>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根据昆明市呈贡区</w:t>
      </w:r>
      <w:r>
        <w:rPr>
          <w:rFonts w:hint="default" w:ascii="Times New Roman" w:hAnsi="Times New Roman" w:eastAsia="仿宋_GB2312" w:cs="Times New Roman"/>
          <w:color w:val="000000"/>
          <w:sz w:val="32"/>
          <w:szCs w:val="32"/>
        </w:rPr>
        <w:t>财政局呈财资批复进行处置，使固定资产规范管理，提高资产实际使用率。</w:t>
      </w:r>
    </w:p>
    <w:p>
      <w:pPr>
        <w:pStyle w:val="4"/>
        <w:wordWrap/>
        <w:spacing w:before="0" w:beforeAutospacing="0" w:after="0" w:afterAutospacing="0" w:line="580" w:lineRule="exact"/>
        <w:ind w:left="0" w:leftChars="0" w:right="0"/>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三公”经费支出情况：</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年区公安分局“三公”经费支出</w:t>
      </w:r>
      <w:r>
        <w:rPr>
          <w:rFonts w:hint="eastAsia" w:ascii="Times New Roman" w:hAnsi="Times New Roman" w:eastAsia="仿宋_GB2312" w:cs="Times New Roman"/>
          <w:color w:val="auto"/>
          <w:sz w:val="32"/>
          <w:szCs w:val="32"/>
          <w:lang w:val="en-US" w:eastAsia="zh-CN"/>
        </w:rPr>
        <w:t>269.35</w:t>
      </w:r>
      <w:r>
        <w:rPr>
          <w:rFonts w:hint="default"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lang w:eastAsia="zh-CN"/>
        </w:rPr>
        <w:t>元</w:t>
      </w:r>
      <w:r>
        <w:rPr>
          <w:rFonts w:hint="default" w:ascii="Times New Roman" w:hAnsi="Times New Roman" w:eastAsia="仿宋_GB2312" w:cs="Times New Roman"/>
          <w:color w:val="auto"/>
          <w:sz w:val="32"/>
          <w:szCs w:val="32"/>
        </w:rPr>
        <w:t>，其中：因公出国（境）费用</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公务接待费</w:t>
      </w:r>
      <w:r>
        <w:rPr>
          <w:rFonts w:hint="eastAsia" w:ascii="Times New Roman" w:hAnsi="Times New Roman" w:eastAsia="仿宋_GB2312" w:cs="Times New Roman"/>
          <w:color w:val="auto"/>
          <w:sz w:val="32"/>
          <w:szCs w:val="32"/>
          <w:lang w:val="en-US" w:eastAsia="zh-CN"/>
        </w:rPr>
        <w:t>1480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公务用车购置及运行维护费</w:t>
      </w:r>
      <w:r>
        <w:rPr>
          <w:rFonts w:hint="eastAsia" w:ascii="Times New Roman" w:hAnsi="Times New Roman" w:eastAsia="仿宋_GB2312" w:cs="Times New Roman"/>
          <w:color w:val="auto"/>
          <w:sz w:val="32"/>
          <w:szCs w:val="32"/>
          <w:lang w:val="en-US" w:eastAsia="zh-CN"/>
        </w:rPr>
        <w:t>269.2</w:t>
      </w:r>
      <w:r>
        <w:rPr>
          <w:rFonts w:hint="default"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p>
    <w:p>
      <w:pPr>
        <w:wordWrap/>
        <w:topLinePunct/>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6</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内部管理制度建设等的设定及完成情况，</w:t>
      </w:r>
      <w:r>
        <w:rPr>
          <w:rFonts w:hint="default" w:ascii="Times New Roman" w:hAnsi="Times New Roman" w:eastAsia="仿宋_GB2312" w:cs="Times New Roman"/>
          <w:color w:val="auto"/>
          <w:sz w:val="32"/>
          <w:szCs w:val="32"/>
        </w:rPr>
        <w:t>项目绩效总目标和阶段性目标完成情况及预期经济、社会效益等。</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昆明市公安局呈贡分局</w:t>
      </w:r>
      <w:r>
        <w:rPr>
          <w:rFonts w:hint="eastAsia" w:ascii="Times New Roman" w:hAnsi="Times New Roman" w:eastAsia="仿宋_GB2312" w:cs="Times New Roman"/>
          <w:bCs/>
          <w:color w:val="auto"/>
          <w:sz w:val="32"/>
          <w:szCs w:val="32"/>
          <w:lang w:eastAsia="zh-CN"/>
        </w:rPr>
        <w:t>2021</w:t>
      </w:r>
      <w:r>
        <w:rPr>
          <w:rFonts w:hint="default" w:ascii="Times New Roman" w:hAnsi="Times New Roman" w:eastAsia="仿宋_GB2312" w:cs="Times New Roman"/>
          <w:bCs/>
          <w:color w:val="auto"/>
          <w:sz w:val="32"/>
          <w:szCs w:val="32"/>
        </w:rPr>
        <w:t>年部门预算绩效管理工作上严格</w:t>
      </w:r>
      <w:r>
        <w:rPr>
          <w:rFonts w:hint="default" w:ascii="Times New Roman" w:hAnsi="Times New Roman" w:eastAsia="仿宋_GB2312" w:cs="Times New Roman"/>
          <w:color w:val="auto"/>
          <w:sz w:val="32"/>
          <w:szCs w:val="32"/>
        </w:rPr>
        <w:t>按照下达的预算执行，严格按照《昆明市公安局呈贡分局财务管理规定》（昆公呈发〔</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36</w:t>
      </w:r>
      <w:r>
        <w:rPr>
          <w:rFonts w:hint="default" w:ascii="Times New Roman" w:hAnsi="Times New Roman" w:eastAsia="仿宋_GB2312" w:cs="Times New Roman"/>
          <w:color w:val="auto"/>
          <w:sz w:val="32"/>
          <w:szCs w:val="32"/>
        </w:rPr>
        <w:t>号）、《昆明市公安局呈贡分局专项资金管理规定》（昆公呈发〔2014〕17号</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）、《昆明市公安局呈贡分局专</w:t>
      </w:r>
      <w:r>
        <w:rPr>
          <w:rFonts w:hint="eastAsia" w:ascii="Times New Roman" w:hAnsi="Times New Roman" w:eastAsia="仿宋_GB2312" w:cs="Times New Roman"/>
          <w:color w:val="auto"/>
          <w:sz w:val="32"/>
          <w:szCs w:val="32"/>
          <w:lang w:eastAsia="zh-CN"/>
        </w:rPr>
        <w:t>案经费管理设施细则（试行）</w:t>
      </w:r>
      <w:r>
        <w:rPr>
          <w:rFonts w:hint="default" w:ascii="Times New Roman" w:hAnsi="Times New Roman" w:eastAsia="仿宋_GB2312" w:cs="Times New Roman"/>
          <w:color w:val="auto"/>
          <w:sz w:val="32"/>
          <w:szCs w:val="32"/>
        </w:rPr>
        <w:t>》（昆公呈发〔20</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昆明市公安局呈贡分局警用装备使用管理规定》、《呈贡公安分局固定资产管理办法（暂行）》等规定实现内部报告审批制度，实时监控支出情况；对于经费使用严格按照呈贡公安分局财务管理规定执行，涉及到采购的项目严格申报审批并按批复组织采购，所有支出符合国家财经法规和财务管理规定以及有关专项资金管理办法的规定,资金的拔付有完整的审批过程，支出符合部门预算批复用途，资金支付合规，无挤占、挪用、虚列情况。</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呈贡公安分局</w:t>
      </w:r>
      <w:r>
        <w:rPr>
          <w:rFonts w:hint="default" w:ascii="Times New Roman" w:hAnsi="Times New Roman" w:eastAsia="仿宋_GB2312" w:cs="Times New Roman"/>
          <w:sz w:val="32"/>
          <w:szCs w:val="32"/>
        </w:rPr>
        <w:t>在区委、区政府和上级公安机关的坚强领导下，以习近平新时代中国特色社会主义思想为指导，深入贯彻落实党的十九大和十九届二中、三中、四中、五中全会精神，认真学习人民警察警旗授旗仪式上习</w:t>
      </w:r>
      <w:r>
        <w:rPr>
          <w:rFonts w:hint="eastAsia" w:ascii="Times New Roman" w:hAnsi="Times New Roman" w:eastAsia="仿宋_GB2312" w:cs="Times New Roman"/>
          <w:sz w:val="32"/>
          <w:szCs w:val="32"/>
          <w:lang w:val="en-US" w:eastAsia="zh-CN"/>
        </w:rPr>
        <w:t>近平</w:t>
      </w:r>
      <w:r>
        <w:rPr>
          <w:rFonts w:hint="default" w:ascii="Times New Roman" w:hAnsi="Times New Roman" w:eastAsia="仿宋_GB2312" w:cs="Times New Roman"/>
          <w:sz w:val="32"/>
          <w:szCs w:val="32"/>
        </w:rPr>
        <w:t>总书记的训词精神</w:t>
      </w:r>
      <w:r>
        <w:rPr>
          <w:rFonts w:hint="default" w:ascii="Times New Roman" w:hAnsi="Times New Roman" w:eastAsia="仿宋_GB2312" w:cs="Times New Roman"/>
          <w:sz w:val="32"/>
          <w:szCs w:val="32"/>
          <w:lang w:eastAsia="zh-CN"/>
        </w:rPr>
        <w:t>、“七一”重要讲话精神</w:t>
      </w:r>
      <w:r>
        <w:rPr>
          <w:rFonts w:hint="default" w:ascii="Times New Roman" w:hAnsi="Times New Roman" w:eastAsia="仿宋_GB2312" w:cs="Times New Roman"/>
          <w:sz w:val="32"/>
          <w:szCs w:val="32"/>
        </w:rPr>
        <w:t>，进一步增强“四个意识”，坚定“四个自信”，坚决做到“两个维护”，</w:t>
      </w:r>
      <w:r>
        <w:rPr>
          <w:rFonts w:hint="default" w:ascii="Times New Roman" w:hAnsi="Times New Roman" w:eastAsia="仿宋_GB2312" w:cs="Times New Roman"/>
          <w:sz w:val="32"/>
          <w:szCs w:val="32"/>
          <w:lang w:eastAsia="zh-CN"/>
        </w:rPr>
        <w:t>全力做好建党</w:t>
      </w:r>
      <w:r>
        <w:rPr>
          <w:rFonts w:hint="default" w:ascii="Times New Roman" w:hAnsi="Times New Roman" w:eastAsia="仿宋_GB2312" w:cs="Times New Roman"/>
          <w:sz w:val="32"/>
          <w:szCs w:val="32"/>
          <w:lang w:val="en-US" w:eastAsia="zh-CN"/>
        </w:rPr>
        <w:t>100周年和COP15大会安保维稳工作，进一步</w:t>
      </w:r>
      <w:r>
        <w:rPr>
          <w:rFonts w:hint="default" w:ascii="Times New Roman" w:hAnsi="Times New Roman" w:eastAsia="仿宋_GB2312" w:cs="Times New Roman"/>
          <w:sz w:val="32"/>
          <w:szCs w:val="32"/>
          <w:lang w:eastAsia="zh-CN"/>
        </w:rPr>
        <w:t>夯实基础工作、提升打防效能，净化社会环境，优化服务举措，</w:t>
      </w:r>
      <w:r>
        <w:rPr>
          <w:rFonts w:hint="default" w:ascii="Times New Roman" w:hAnsi="Times New Roman" w:eastAsia="仿宋_GB2312" w:cs="Times New Roman"/>
          <w:sz w:val="32"/>
          <w:szCs w:val="32"/>
        </w:rPr>
        <w:t>确保辖区持续安全稳定</w:t>
      </w:r>
      <w:r>
        <w:rPr>
          <w:rFonts w:hint="default" w:ascii="Times New Roman" w:hAnsi="Times New Roman" w:eastAsia="仿宋_GB2312" w:cs="Times New Roman"/>
          <w:color w:val="auto"/>
          <w:sz w:val="32"/>
          <w:szCs w:val="32"/>
          <w:lang w:eastAsia="zh-CN"/>
        </w:rPr>
        <w:t>。</w:t>
      </w:r>
    </w:p>
    <w:p>
      <w:pPr>
        <w:wordWrap/>
        <w:spacing w:beforeAutospacing="0" w:afterAutospacing="0" w:line="580" w:lineRule="exact"/>
        <w:ind w:left="0" w:leftChars="0" w:right="0" w:firstLine="640" w:firstLineChars="200"/>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（三）部门整体支出或项目实施情况分析，主要包括资金到位、资金使用、资金管理、项目组织和项目管理情况分析等。</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整体支出资金到位情况分析</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（1）资金到位情况</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区财政</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预算</w:t>
      </w:r>
      <w:r>
        <w:rPr>
          <w:rFonts w:hint="default" w:ascii="Times New Roman" w:hAnsi="Times New Roman" w:eastAsia="仿宋_GB2312" w:cs="Times New Roman"/>
          <w:color w:val="auto"/>
          <w:sz w:val="32"/>
          <w:szCs w:val="32"/>
        </w:rPr>
        <w:t>拨付资金</w:t>
      </w:r>
      <w:r>
        <w:rPr>
          <w:rFonts w:hint="eastAsia" w:ascii="Times New Roman" w:hAnsi="Times New Roman" w:eastAsia="仿宋_GB2312" w:cs="Times New Roman"/>
          <w:color w:val="auto"/>
          <w:sz w:val="32"/>
          <w:szCs w:val="32"/>
          <w:lang w:val="en-US" w:eastAsia="zh-CN"/>
        </w:rPr>
        <w:t>37364.61</w:t>
      </w:r>
      <w:r>
        <w:rPr>
          <w:rFonts w:hint="default"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val="en-US" w:eastAsia="zh-CN"/>
        </w:rPr>
        <w:t>年结转0</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到位率100%，</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（2）整体支出资金使用情况分析</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年分局部门决算总支出</w:t>
      </w:r>
      <w:r>
        <w:rPr>
          <w:rFonts w:hint="eastAsia" w:ascii="Times New Roman" w:hAnsi="Times New Roman" w:eastAsia="仿宋_GB2312" w:cs="Times New Roman"/>
          <w:color w:val="auto"/>
          <w:sz w:val="32"/>
          <w:szCs w:val="32"/>
          <w:lang w:val="en-US" w:eastAsia="zh-CN"/>
        </w:rPr>
        <w:t>37364.61</w:t>
      </w:r>
      <w:r>
        <w:rPr>
          <w:rFonts w:hint="default"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rPr>
        <w:t>元，主要使用于基本工资、津贴补贴等人员经费、办公经费、印刷费、水电费、劳务费(</w:t>
      </w:r>
      <w:r>
        <w:rPr>
          <w:rFonts w:hint="default" w:ascii="Times New Roman" w:hAnsi="Times New Roman" w:eastAsia="仿宋_GB2312" w:cs="Times New Roman"/>
          <w:color w:val="auto"/>
          <w:sz w:val="32"/>
          <w:szCs w:val="32"/>
          <w:lang w:eastAsia="zh-CN"/>
        </w:rPr>
        <w:t>辅警</w:t>
      </w:r>
      <w:r>
        <w:rPr>
          <w:rFonts w:hint="default" w:ascii="Times New Roman" w:hAnsi="Times New Roman" w:eastAsia="仿宋_GB2312" w:cs="Times New Roman"/>
          <w:color w:val="auto"/>
          <w:sz w:val="32"/>
          <w:szCs w:val="32"/>
        </w:rPr>
        <w:t>人员工资及保险)、伙食费、培训费、交通费，住房公积金及退休费</w:t>
      </w:r>
      <w:r>
        <w:rPr>
          <w:rFonts w:hint="default" w:ascii="Times New Roman" w:hAnsi="Times New Roman" w:eastAsia="仿宋_GB2312" w:cs="Times New Roman"/>
          <w:color w:val="auto"/>
          <w:sz w:val="32"/>
          <w:szCs w:val="32"/>
          <w:lang w:eastAsia="zh-CN"/>
        </w:rPr>
        <w:t>、治安管理、国内安全保卫、刑事侦查、经济犯罪侦查、禁毒管理、网络运行及维护、羁押场所管理、疫情防控</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COP15大会安保</w:t>
      </w:r>
      <w:r>
        <w:rPr>
          <w:rFonts w:hint="default" w:ascii="Times New Roman" w:hAnsi="Times New Roman" w:eastAsia="仿宋_GB2312" w:cs="Times New Roman"/>
          <w:color w:val="auto"/>
          <w:sz w:val="32"/>
          <w:szCs w:val="32"/>
          <w:lang w:eastAsia="zh-CN"/>
        </w:rPr>
        <w:t>和其他公安</w:t>
      </w:r>
      <w:r>
        <w:rPr>
          <w:rFonts w:hint="default" w:ascii="Times New Roman" w:hAnsi="Times New Roman" w:eastAsia="仿宋_GB2312" w:cs="Times New Roman"/>
          <w:color w:val="auto"/>
          <w:sz w:val="32"/>
          <w:szCs w:val="32"/>
        </w:rPr>
        <w:t>支出。</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（3）整体支出资金管理情况分析</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区公安分局</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经费支出等严格</w:t>
      </w:r>
      <w:r>
        <w:rPr>
          <w:rFonts w:hint="default"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规范；</w:t>
      </w:r>
      <w:r>
        <w:rPr>
          <w:rFonts w:hint="default" w:ascii="Times New Roman" w:hAnsi="Times New Roman" w:eastAsia="仿宋_GB2312" w:cs="Times New Roman"/>
          <w:color w:val="auto"/>
          <w:sz w:val="32"/>
          <w:szCs w:val="32"/>
        </w:rPr>
        <w:t>制定了《分局财务管理制度》，规定了资金收入管理办法、固定资产管理的相关办法及资金支付的审批流程。对会议费、差旅费、接待费等支出进行了严格规定。对专项经费管理以作出了相应规定，专项资金实行专项报告制度，严格按指定用途专款专用，保证专项任务和计划的完成。</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根据年初预算，区公安分局遵守《党政机关厉行节约反对浪费条例》及相关资金管理制度，在政府采购</w:t>
      </w:r>
      <w:r>
        <w:rPr>
          <w:rFonts w:hint="default" w:ascii="Times New Roman" w:hAnsi="Times New Roman" w:eastAsia="仿宋_GB2312" w:cs="Times New Roman"/>
          <w:color w:val="auto"/>
          <w:sz w:val="32"/>
          <w:szCs w:val="32"/>
          <w:lang w:eastAsia="zh-CN"/>
        </w:rPr>
        <w:t>（特别是电子卖场）</w:t>
      </w:r>
      <w:r>
        <w:rPr>
          <w:rFonts w:hint="default" w:ascii="Times New Roman" w:hAnsi="Times New Roman" w:eastAsia="仿宋_GB2312" w:cs="Times New Roman"/>
          <w:color w:val="auto"/>
          <w:sz w:val="32"/>
          <w:szCs w:val="32"/>
        </w:rPr>
        <w:t>、公务卡管理、等方面取得了较为理想的效果。</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整体支出资金结余情况分析</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2021</w:t>
      </w:r>
      <w:r>
        <w:rPr>
          <w:rFonts w:hint="default" w:ascii="Times New Roman" w:hAnsi="Times New Roman" w:eastAsia="仿宋_GB2312" w:cs="Times New Roman"/>
          <w:color w:val="auto"/>
          <w:sz w:val="32"/>
          <w:szCs w:val="32"/>
          <w:lang w:val="en-US" w:eastAsia="zh-CN"/>
        </w:rPr>
        <w:t>年结余为0。</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（4）整体支出组织和管理情况分析</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A、 组织情况分析</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昆明市公安局呈贡分局下设指挥中心、政工室、纪检室、警务保障室、法制大队、国保大队、刑侦大队、治安大队、禁毒大队、经侦大队、网安大队、特警</w:t>
      </w:r>
      <w:r>
        <w:rPr>
          <w:rFonts w:hint="default" w:ascii="Times New Roman" w:hAnsi="Times New Roman" w:eastAsia="仿宋_GB2312" w:cs="Times New Roman"/>
          <w:color w:val="auto"/>
          <w:sz w:val="32"/>
          <w:szCs w:val="32"/>
          <w:lang w:eastAsia="zh-CN"/>
        </w:rPr>
        <w:t>大队</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内设机构，城关派出所、龙街派出所、吴家营派出所、雨花派出所、石龙湖派出所、乌龙派出所、白龙潭派出所7个派出所,看守所、拘留所2个监管场所。对于各项目的管理，均由各归口队所进行相应的执行、监督、落实和考核，分局负责全程管理监督。</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B、 管理情况分析</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了加强整体支出的绩效管理，绩效目标的制定方面，做到指标基本明确合理，并加以量化细化，为绩效的监督、跟踪考核打下了基础。预算执行过程中，建立健全各项管理制度，并严格按照相关制度执行。每季度，由区财政局组织对区公安分局绩效目标的落实和进展情况进行跟踪。项目完成，及时进行考核及总结，作为改进管理的借鉴。</w:t>
      </w:r>
    </w:p>
    <w:p>
      <w:pPr>
        <w:wordWrap/>
        <w:topLinePunct/>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二、绩效评价工作情况</w:t>
      </w:r>
    </w:p>
    <w:p>
      <w:pPr>
        <w:wordWrap/>
        <w:topLinePunct/>
        <w:spacing w:beforeAutospacing="0" w:afterAutospacing="0" w:line="580" w:lineRule="exact"/>
        <w:ind w:left="0" w:leftChars="0" w:right="0" w:firstLine="640" w:firstLineChars="200"/>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（一）绩效评价目的</w:t>
      </w:r>
    </w:p>
    <w:p>
      <w:pPr>
        <w:wordWrap/>
        <w:topLinePunct/>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年年初预算绩效目标完成情况进行自检自查，根据自评指标体系，对资金的投入、管理、使用和产出情况</w:t>
      </w:r>
      <w:r>
        <w:rPr>
          <w:rFonts w:hint="default" w:ascii="Times New Roman" w:hAnsi="Times New Roman" w:eastAsia="仿宋_GB2312" w:cs="Times New Roman"/>
          <w:color w:val="auto"/>
          <w:sz w:val="32"/>
          <w:szCs w:val="32"/>
          <w:lang w:eastAsia="zh-CN"/>
        </w:rPr>
        <w:t>是否达到预期目标</w:t>
      </w:r>
      <w:r>
        <w:rPr>
          <w:rFonts w:hint="default" w:ascii="Times New Roman" w:hAnsi="Times New Roman" w:eastAsia="仿宋_GB2312" w:cs="Times New Roman"/>
          <w:color w:val="auto"/>
          <w:sz w:val="32"/>
          <w:szCs w:val="32"/>
        </w:rPr>
        <w:t>进行自评。</w:t>
      </w:r>
    </w:p>
    <w:p>
      <w:pPr>
        <w:wordWrap/>
        <w:spacing w:beforeAutospacing="0" w:afterAutospacing="0" w:line="580" w:lineRule="exact"/>
        <w:ind w:left="0" w:leftChars="0" w:right="0" w:firstLine="320" w:firstLineChars="100"/>
        <w:outlineLvl w:val="9"/>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（二）绩效评价工作过程，主要包括前期准备、组织实施和分析评价等内容</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前期准备</w:t>
      </w:r>
    </w:p>
    <w:p>
      <w:pPr>
        <w:wordWrap/>
        <w:spacing w:beforeAutospacing="0" w:afterAutospacing="0" w:line="580" w:lineRule="exact"/>
        <w:ind w:left="0" w:leftChars="0" w:right="0" w:firstLine="960" w:firstLineChars="300"/>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Cs/>
          <w:color w:val="auto"/>
          <w:sz w:val="32"/>
          <w:szCs w:val="32"/>
        </w:rPr>
        <w:t>制定了《昆明市公安局呈贡分局预算支出绩效自评工作方案》</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pacing w:val="-11"/>
          <w:sz w:val="32"/>
          <w:szCs w:val="32"/>
        </w:rPr>
        <w:t>成</w:t>
      </w:r>
      <w:r>
        <w:rPr>
          <w:rFonts w:hint="default" w:ascii="Times New Roman" w:hAnsi="Times New Roman" w:eastAsia="仿宋_GB2312" w:cs="Times New Roman"/>
          <w:color w:val="auto"/>
          <w:spacing w:val="-11"/>
          <w:sz w:val="32"/>
          <w:szCs w:val="32"/>
        </w:rPr>
        <w:t>立由副区长、分局党委书记、局长任组长，分局党委委员、</w:t>
      </w:r>
      <w:r>
        <w:rPr>
          <w:rFonts w:hint="default" w:ascii="Times New Roman" w:hAnsi="Times New Roman" w:eastAsia="仿宋_GB2312" w:cs="Times New Roman"/>
          <w:color w:val="auto"/>
          <w:spacing w:val="-11"/>
          <w:sz w:val="32"/>
          <w:szCs w:val="32"/>
          <w:lang w:eastAsia="zh-CN"/>
        </w:rPr>
        <w:t>分管财务的</w:t>
      </w:r>
      <w:r>
        <w:rPr>
          <w:rFonts w:hint="default" w:ascii="Times New Roman" w:hAnsi="Times New Roman" w:eastAsia="仿宋_GB2312" w:cs="Times New Roman"/>
          <w:color w:val="auto"/>
          <w:spacing w:val="-11"/>
          <w:sz w:val="32"/>
          <w:szCs w:val="32"/>
        </w:rPr>
        <w:t>副局长任副组长，各相关部门领导为成员</w:t>
      </w:r>
      <w:r>
        <w:rPr>
          <w:rFonts w:hint="default" w:ascii="Times New Roman" w:hAnsi="Times New Roman" w:eastAsia="仿宋_GB2312" w:cs="Times New Roman"/>
          <w:color w:val="auto"/>
          <w:spacing w:val="-11"/>
          <w:sz w:val="32"/>
          <w:szCs w:val="32"/>
          <w:lang w:eastAsia="zh-CN"/>
        </w:rPr>
        <w:t>的</w:t>
      </w:r>
      <w:r>
        <w:rPr>
          <w:rFonts w:hint="default" w:ascii="Times New Roman" w:hAnsi="Times New Roman" w:eastAsia="仿宋_GB2312" w:cs="Times New Roman"/>
          <w:color w:val="auto"/>
          <w:spacing w:val="-11"/>
          <w:sz w:val="32"/>
          <w:szCs w:val="32"/>
        </w:rPr>
        <w:t>工作小组。搜集了与评价项目有关的法律、法规和制度，项目立项申报有关资料以及资金报告、项目预算申报书，专项资金管理办法等，确定了评价内容</w:t>
      </w:r>
      <w:r>
        <w:rPr>
          <w:rFonts w:hint="default" w:ascii="Times New Roman" w:hAnsi="Times New Roman" w:eastAsia="仿宋_GB2312" w:cs="Times New Roman"/>
          <w:color w:val="auto"/>
          <w:spacing w:val="-11"/>
          <w:sz w:val="32"/>
          <w:szCs w:val="32"/>
          <w:lang w:eastAsia="zh-CN"/>
        </w:rPr>
        <w:t>。</w:t>
      </w:r>
    </w:p>
    <w:p>
      <w:pPr>
        <w:wordWrap/>
        <w:spacing w:beforeAutospacing="0" w:afterAutospacing="0" w:line="580" w:lineRule="exact"/>
        <w:ind w:left="0" w:leftChars="0" w:right="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组织实施</w:t>
      </w:r>
    </w:p>
    <w:p>
      <w:pPr>
        <w:wordWrap/>
        <w:spacing w:beforeAutospacing="0" w:afterAutospacing="0" w:line="580" w:lineRule="exact"/>
        <w:ind w:left="0" w:leftChars="0" w:right="0" w:firstLine="964" w:firstLineChars="300"/>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color w:val="auto"/>
          <w:sz w:val="32"/>
          <w:szCs w:val="32"/>
        </w:rPr>
        <w:t>一</w:t>
      </w:r>
      <w:r>
        <w:rPr>
          <w:rFonts w:hint="default" w:ascii="Times New Roman" w:hAnsi="Times New Roman" w:eastAsia="仿宋_GB2312" w:cs="Times New Roman"/>
          <w:color w:val="auto"/>
          <w:sz w:val="32"/>
          <w:szCs w:val="32"/>
          <w:shd w:val="clear" w:color="auto" w:fill="FFFFFF"/>
        </w:rPr>
        <w:t>是根据评价计划结合工作实际制定组织实施方案、评价指标体系等具体评价方案。</w:t>
      </w:r>
    </w:p>
    <w:p>
      <w:pPr>
        <w:wordWrap/>
        <w:spacing w:beforeAutospacing="0" w:afterAutospacing="0" w:line="580" w:lineRule="exact"/>
        <w:ind w:left="0" w:leftChars="0" w:right="0" w:firstLine="960" w:firstLineChars="300"/>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shd w:val="clear" w:color="auto" w:fill="FFFFFF"/>
        </w:rPr>
        <w:t>二是在支出绩效评价共性指标体系框架的基础上，认真结合年初预算批复的项目支出绩效指标，部门职责及项目特点，补充确定项目的绩效自评指标体系。</w:t>
      </w:r>
    </w:p>
    <w:p>
      <w:pPr>
        <w:wordWrap/>
        <w:spacing w:beforeAutospacing="0" w:afterAutospacing="0" w:line="580" w:lineRule="exact"/>
        <w:ind w:left="0" w:leftChars="0" w:right="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color w:val="auto"/>
          <w:sz w:val="32"/>
          <w:szCs w:val="32"/>
        </w:rPr>
        <w:t xml:space="preserve"> 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分析评价</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相关资料进行数据汇总核实、分析，根据绩效评价对象的特点采用现场评价和非现场评价相结合的方法对绩效目标完成情况进行评价，核实了相关资金的使用流向和真实性。最后运用相关绩效评价方法对绩效完成情况进行综合分析、打分、形成评价结论。</w:t>
      </w:r>
    </w:p>
    <w:p>
      <w:pPr>
        <w:wordWrap/>
        <w:topLinePunct/>
        <w:spacing w:beforeAutospacing="0" w:afterAutospacing="0" w:line="580" w:lineRule="exact"/>
        <w:ind w:left="0" w:leftChars="0" w:right="0" w:firstLine="643" w:firstLineChars="200"/>
        <w:outlineLvl w:val="9"/>
        <w:rPr>
          <w:rFonts w:hint="default" w:ascii="Times New Roman" w:hAnsi="Times New Roman" w:eastAsia="黑体" w:cs="Times New Roman"/>
          <w:b/>
          <w:color w:val="auto"/>
          <w:sz w:val="32"/>
          <w:szCs w:val="32"/>
        </w:rPr>
      </w:pPr>
      <w:r>
        <w:rPr>
          <w:rFonts w:hint="default" w:ascii="Times New Roman" w:hAnsi="Times New Roman" w:eastAsia="黑体" w:cs="Times New Roman"/>
          <w:b/>
          <w:color w:val="auto"/>
          <w:sz w:val="32"/>
          <w:szCs w:val="32"/>
        </w:rPr>
        <w:t>三、主要绩效及评价结论</w:t>
      </w:r>
    </w:p>
    <w:p>
      <w:pPr>
        <w:pStyle w:val="4"/>
        <w:wordWrap/>
        <w:spacing w:before="0" w:beforeAutospacing="0" w:after="0" w:afterAutospacing="0" w:line="580" w:lineRule="exact"/>
        <w:ind w:left="0" w:leftChars="0" w:right="0" w:firstLine="42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(一)</w:t>
      </w:r>
      <w:r>
        <w:rPr>
          <w:rFonts w:hint="default" w:ascii="Times New Roman" w:hAnsi="Times New Roman" w:eastAsia="仿宋_GB2312" w:cs="Times New Roman"/>
          <w:color w:val="auto"/>
          <w:sz w:val="32"/>
          <w:szCs w:val="32"/>
        </w:rPr>
        <w:t> 经济性分析</w:t>
      </w:r>
    </w:p>
    <w:p>
      <w:pPr>
        <w:pStyle w:val="4"/>
        <w:wordWrap/>
        <w:spacing w:before="0" w:beforeAutospacing="0" w:after="0" w:afterAutospacing="0" w:line="580" w:lineRule="exact"/>
        <w:ind w:left="0" w:leftChars="0" w:right="0" w:firstLine="42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预算控制情况</w:t>
      </w:r>
    </w:p>
    <w:p>
      <w:pPr>
        <w:pStyle w:val="4"/>
        <w:wordWrap/>
        <w:spacing w:before="0" w:beforeAutospacing="0" w:after="0" w:afterAutospacing="0" w:line="580" w:lineRule="exact"/>
        <w:ind w:left="0" w:leftChars="0" w:right="0" w:firstLine="640" w:firstLineChars="200"/>
        <w:outlineLvl w:val="9"/>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rPr>
        <w:t>本年支出(含预算调整)为</w:t>
      </w:r>
      <w:r>
        <w:rPr>
          <w:rFonts w:hint="eastAsia" w:ascii="Times New Roman" w:hAnsi="Times New Roman" w:eastAsia="仿宋_GB2312" w:cs="Times New Roman"/>
          <w:color w:val="auto"/>
          <w:sz w:val="32"/>
          <w:szCs w:val="32"/>
          <w:lang w:val="en-US" w:eastAsia="zh-CN"/>
        </w:rPr>
        <w:t>37364.61</w:t>
      </w:r>
      <w:r>
        <w:rPr>
          <w:rFonts w:hint="default"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0000FF"/>
          <w:sz w:val="32"/>
          <w:szCs w:val="32"/>
        </w:rPr>
        <w:t>结余</w:t>
      </w:r>
      <w:r>
        <w:rPr>
          <w:rFonts w:hint="default" w:ascii="Times New Roman" w:hAnsi="Times New Roman" w:eastAsia="仿宋_GB2312" w:cs="Times New Roman"/>
          <w:color w:val="0000FF"/>
          <w:sz w:val="32"/>
          <w:szCs w:val="32"/>
          <w:lang w:val="en-US" w:eastAsia="zh-CN"/>
        </w:rPr>
        <w:t>0</w:t>
      </w:r>
      <w:r>
        <w:rPr>
          <w:rFonts w:hint="default" w:ascii="Times New Roman" w:hAnsi="Times New Roman" w:eastAsia="仿宋_GB2312" w:cs="Times New Roman"/>
          <w:color w:val="0000FF"/>
          <w:sz w:val="32"/>
          <w:szCs w:val="32"/>
        </w:rPr>
        <w:t>元。</w:t>
      </w:r>
    </w:p>
    <w:p>
      <w:pPr>
        <w:pStyle w:val="4"/>
        <w:wordWrap/>
        <w:spacing w:before="0" w:beforeAutospacing="0" w:after="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成本节约情况</w:t>
      </w:r>
    </w:p>
    <w:p>
      <w:pPr>
        <w:pStyle w:val="4"/>
        <w:wordWrap/>
        <w:spacing w:before="0" w:beforeAutospacing="0" w:after="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部分年度项目预算资金，区</w:t>
      </w:r>
      <w:r>
        <w:rPr>
          <w:rFonts w:hint="default" w:ascii="Times New Roman" w:hAnsi="Times New Roman" w:eastAsia="仿宋_GB2312" w:cs="Times New Roman"/>
          <w:color w:val="auto"/>
          <w:sz w:val="32"/>
          <w:szCs w:val="32"/>
          <w:lang w:eastAsia="zh-CN"/>
        </w:rPr>
        <w:t>公安</w:t>
      </w:r>
      <w:r>
        <w:rPr>
          <w:rFonts w:hint="default" w:ascii="Times New Roman" w:hAnsi="Times New Roman" w:eastAsia="仿宋_GB2312" w:cs="Times New Roman"/>
          <w:color w:val="auto"/>
          <w:sz w:val="32"/>
          <w:szCs w:val="32"/>
        </w:rPr>
        <w:t>分局本着厉行节约的原则。如预算</w:t>
      </w:r>
      <w:r>
        <w:rPr>
          <w:rFonts w:hint="default" w:ascii="Times New Roman" w:hAnsi="Times New Roman" w:eastAsia="仿宋_GB2312" w:cs="Times New Roman"/>
          <w:color w:val="auto"/>
          <w:sz w:val="32"/>
          <w:szCs w:val="32"/>
          <w:lang w:eastAsia="zh-CN"/>
        </w:rPr>
        <w:t>“三公”经费</w:t>
      </w:r>
      <w:r>
        <w:rPr>
          <w:rFonts w:hint="default" w:ascii="Times New Roman" w:hAnsi="Times New Roman" w:eastAsia="仿宋_GB2312" w:cs="Times New Roman"/>
          <w:color w:val="auto"/>
          <w:sz w:val="32"/>
          <w:szCs w:val="32"/>
        </w:rPr>
        <w:t>实际支出比预算资金节约，切实保证了经费高效使用，厉行节约的原则。</w:t>
      </w:r>
    </w:p>
    <w:p>
      <w:pPr>
        <w:wordWrap/>
        <w:topLinePunct/>
        <w:spacing w:beforeAutospacing="0" w:afterAutospacing="0" w:line="580" w:lineRule="exact"/>
        <w:ind w:left="0" w:leftChars="0" w:right="0" w:firstLine="640" w:firstLineChars="200"/>
        <w:outlineLvl w:val="9"/>
        <w:rPr>
          <w:rFonts w:hint="default" w:ascii="Times New Roman" w:hAnsi="Times New Roman" w:eastAsia="楷体" w:cs="Times New Roman"/>
          <w:b w:val="0"/>
          <w:bCs/>
          <w:color w:val="auto"/>
          <w:sz w:val="32"/>
          <w:szCs w:val="32"/>
        </w:rPr>
      </w:pPr>
      <w:r>
        <w:rPr>
          <w:rFonts w:hint="default" w:ascii="Times New Roman" w:hAnsi="Times New Roman" w:eastAsia="楷体" w:cs="Times New Roman"/>
          <w:b w:val="0"/>
          <w:bCs/>
          <w:color w:val="auto"/>
          <w:sz w:val="32"/>
          <w:szCs w:val="32"/>
          <w:lang w:eastAsia="zh-CN"/>
        </w:rPr>
        <w:t>（二）</w:t>
      </w:r>
      <w:r>
        <w:rPr>
          <w:rFonts w:hint="default" w:ascii="Times New Roman" w:hAnsi="Times New Roman" w:eastAsia="楷体" w:cs="Times New Roman"/>
          <w:b w:val="0"/>
          <w:bCs/>
          <w:color w:val="auto"/>
          <w:sz w:val="32"/>
          <w:szCs w:val="32"/>
        </w:rPr>
        <w:t>效率性分析</w:t>
      </w:r>
    </w:p>
    <w:p>
      <w:pPr>
        <w:widowControl/>
        <w:wordWrap/>
        <w:overflowPunct w:val="0"/>
        <w:autoSpaceDE w:val="0"/>
        <w:autoSpaceDN w:val="0"/>
        <w:adjustRightInd w:val="0"/>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实施进度</w:t>
      </w:r>
      <w:r>
        <w:rPr>
          <w:rFonts w:hint="default" w:ascii="Times New Roman" w:hAnsi="Times New Roman" w:eastAsia="仿宋_GB2312" w:cs="Times New Roman"/>
          <w:color w:val="auto"/>
          <w:sz w:val="32"/>
          <w:szCs w:val="32"/>
        </w:rPr>
        <w:tab/>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年昆明市公安局呈贡分局各项日常性工作正常有效开展，据统计，分局支出预算执行进度为100%。</w:t>
      </w:r>
    </w:p>
    <w:p>
      <w:pPr>
        <w:widowControl/>
        <w:wordWrap/>
        <w:overflowPunct w:val="0"/>
        <w:autoSpaceDE w:val="0"/>
        <w:autoSpaceDN w:val="0"/>
        <w:adjustRightInd w:val="0"/>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完成质量</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昆明市公安局呈贡分局完成了</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预期</w:t>
      </w:r>
      <w:r>
        <w:rPr>
          <w:rFonts w:hint="default" w:ascii="Times New Roman" w:hAnsi="Times New Roman" w:eastAsia="仿宋_GB2312" w:cs="Times New Roman"/>
          <w:color w:val="auto"/>
          <w:sz w:val="32"/>
          <w:szCs w:val="32"/>
        </w:rPr>
        <w:t>目标任务。在费用性支出中，昆明市公安局呈贡分局依据</w:t>
      </w:r>
      <w:r>
        <w:rPr>
          <w:rFonts w:hint="eastAsia" w:ascii="Times New Roman" w:hAnsi="Times New Roman" w:eastAsia="仿宋_GB2312" w:cs="Times New Roman"/>
          <w:color w:val="auto"/>
          <w:sz w:val="32"/>
          <w:szCs w:val="32"/>
          <w:lang w:eastAsia="zh-CN"/>
        </w:rPr>
        <w:t>“中央八项规定”</w:t>
      </w:r>
      <w:bookmarkStart w:id="2" w:name="_GoBack"/>
      <w:bookmarkEnd w:id="2"/>
      <w:r>
        <w:rPr>
          <w:rFonts w:hint="default" w:ascii="Times New Roman" w:hAnsi="Times New Roman" w:eastAsia="仿宋_GB2312" w:cs="Times New Roman"/>
          <w:color w:val="auto"/>
          <w:sz w:val="32"/>
          <w:szCs w:val="32"/>
        </w:rPr>
        <w:t>及《党政机关厉行节约反对浪费条例》等制度，在保障日常工作的正常有序开展的情况下，</w:t>
      </w:r>
      <w:r>
        <w:rPr>
          <w:rFonts w:hint="default" w:ascii="Times New Roman" w:hAnsi="Times New Roman" w:eastAsia="仿宋_GB2312" w:cs="Times New Roman"/>
          <w:color w:val="auto"/>
          <w:sz w:val="32"/>
          <w:szCs w:val="32"/>
          <w:lang w:eastAsia="zh-CN"/>
        </w:rPr>
        <w:t>联合财务公司对分局资金支出进行两次审核把关，严把资金使用合法合规，</w:t>
      </w:r>
      <w:r>
        <w:rPr>
          <w:rFonts w:hint="default" w:ascii="Times New Roman" w:hAnsi="Times New Roman" w:eastAsia="仿宋_GB2312" w:cs="Times New Roman"/>
          <w:color w:val="auto"/>
          <w:sz w:val="32"/>
          <w:szCs w:val="32"/>
        </w:rPr>
        <w:t>做到了资金有结余。项目支出方面，昆明市公安局呈贡分局严格审查编制方案和执行政府采购程序，对不符合规定的支出做到宁可不付，保证了项目资金使用的合规、有效。</w:t>
      </w:r>
    </w:p>
    <w:p>
      <w:pPr>
        <w:widowControl/>
        <w:wordWrap/>
        <w:overflowPunct w:val="0"/>
        <w:autoSpaceDE w:val="0"/>
        <w:autoSpaceDN w:val="0"/>
        <w:adjustRightInd w:val="0"/>
        <w:spacing w:beforeAutospacing="0" w:afterAutospacing="0" w:line="580" w:lineRule="exact"/>
        <w:ind w:left="0" w:leftChars="0" w:right="0"/>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val="0"/>
          <w:bCs/>
          <w:color w:val="auto"/>
          <w:sz w:val="32"/>
          <w:szCs w:val="32"/>
          <w:lang w:val="en-US" w:eastAsia="zh-CN"/>
        </w:rPr>
        <w:t xml:space="preserve">    3.</w:t>
      </w:r>
      <w:r>
        <w:rPr>
          <w:rFonts w:hint="default" w:ascii="Times New Roman" w:hAnsi="Times New Roman" w:eastAsia="仿宋_GB2312" w:cs="Times New Roman"/>
          <w:b w:val="0"/>
          <w:bCs/>
          <w:color w:val="auto"/>
          <w:sz w:val="32"/>
          <w:szCs w:val="32"/>
        </w:rPr>
        <w:t>效益性分析</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年昆明市公安局呈贡分局在区委、区政府及上级公安机关的坚强领导下，完成各项目标任务。</w:t>
      </w:r>
    </w:p>
    <w:p>
      <w:pPr>
        <w:wordWrap/>
        <w:spacing w:beforeAutospacing="0" w:afterAutospacing="0" w:line="580" w:lineRule="exact"/>
        <w:ind w:left="0" w:leftChars="0" w:right="0"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（1）对社会的影响</w:t>
      </w:r>
    </w:p>
    <w:p>
      <w:pPr>
        <w:wordWrap/>
        <w:spacing w:beforeAutospacing="0" w:afterAutospacing="0" w:line="580" w:lineRule="exact"/>
        <w:ind w:left="0" w:leftChars="0" w:right="0" w:firstLine="640" w:firstLineChars="200"/>
        <w:jc w:val="left"/>
        <w:outlineLvl w:val="9"/>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lang w:val="en-US" w:eastAsia="zh-CN"/>
        </w:rPr>
        <w:t>a、</w:t>
      </w:r>
      <w:r>
        <w:rPr>
          <w:rFonts w:hint="default" w:ascii="Times New Roman" w:hAnsi="Times New Roman" w:eastAsia="楷体" w:cs="Times New Roman"/>
          <w:bCs/>
          <w:sz w:val="32"/>
          <w:szCs w:val="32"/>
        </w:rPr>
        <w:t>全力维护政治安全稳定。</w:t>
      </w:r>
      <w:r>
        <w:rPr>
          <w:rFonts w:hint="default" w:ascii="Times New Roman" w:hAnsi="Times New Roman" w:eastAsia="仿宋_GB2312" w:cs="Times New Roman"/>
          <w:b w:val="0"/>
          <w:bCs w:val="0"/>
          <w:sz w:val="32"/>
          <w:szCs w:val="32"/>
          <w:lang w:eastAsia="zh-CN"/>
        </w:rPr>
        <w:t>一是加强情报研判</w:t>
      </w:r>
      <w:r>
        <w:rPr>
          <w:rFonts w:hint="eastAsia" w:ascii="Times New Roman" w:hAnsi="Times New Roman" w:eastAsia="仿宋_GB2312" w:cs="Times New Roman"/>
          <w:b w:val="0"/>
          <w:bCs w:val="0"/>
          <w:sz w:val="32"/>
          <w:szCs w:val="32"/>
          <w:lang w:eastAsia="zh-CN"/>
        </w:rPr>
        <w:t>预警</w:t>
      </w:r>
      <w:r>
        <w:rPr>
          <w:rFonts w:hint="default" w:ascii="Times New Roman" w:hAnsi="Times New Roman" w:eastAsia="仿宋_GB2312" w:cs="Times New Roman"/>
          <w:b w:val="0"/>
          <w:bCs w:val="0"/>
          <w:sz w:val="32"/>
          <w:szCs w:val="32"/>
          <w:lang w:eastAsia="zh-CN"/>
        </w:rPr>
        <w:t>。分局</w:t>
      </w:r>
      <w:r>
        <w:rPr>
          <w:rFonts w:hint="default" w:ascii="Times New Roman" w:hAnsi="Times New Roman" w:eastAsia="仿宋_GB2312" w:cs="Times New Roman"/>
          <w:b w:val="0"/>
          <w:bCs w:val="0"/>
          <w:sz w:val="32"/>
          <w:szCs w:val="32"/>
        </w:rPr>
        <w:t>始终把防范政治安全风险置于首位，按照情报高于勤务等级</w:t>
      </w:r>
      <w:r>
        <w:rPr>
          <w:rFonts w:hint="eastAsia" w:ascii="Times New Roman" w:hAnsi="Times New Roman" w:eastAsia="仿宋_GB2312" w:cs="Times New Roman"/>
          <w:b w:val="0"/>
          <w:bCs w:val="0"/>
          <w:sz w:val="32"/>
          <w:szCs w:val="32"/>
          <w:lang w:eastAsia="zh-CN"/>
        </w:rPr>
        <w:t>要求</w:t>
      </w:r>
      <w:r>
        <w:rPr>
          <w:rFonts w:hint="default" w:ascii="Times New Roman" w:hAnsi="Times New Roman" w:eastAsia="仿宋_GB2312" w:cs="Times New Roman"/>
          <w:b w:val="0"/>
          <w:bCs w:val="0"/>
          <w:sz w:val="32"/>
          <w:szCs w:val="32"/>
        </w:rPr>
        <w:t>，不断完善</w:t>
      </w:r>
      <w:r>
        <w:rPr>
          <w:rFonts w:hint="default" w:ascii="Times New Roman" w:hAnsi="Times New Roman" w:eastAsia="仿宋_GB2312" w:cs="Times New Roman"/>
          <w:b w:val="0"/>
          <w:bCs w:val="0"/>
          <w:sz w:val="32"/>
          <w:szCs w:val="32"/>
          <w:lang w:eastAsia="zh-CN"/>
        </w:rPr>
        <w:t>双九两研判等机制今年来共收集上报情报信息553期，市局采用405期。二是加强反体制言论管控。今年来，在云南大学</w:t>
      </w:r>
      <w:r>
        <w:rPr>
          <w:rFonts w:hint="eastAsia" w:ascii="Times New Roman" w:hAnsi="Times New Roman" w:eastAsia="仿宋_GB2312" w:cs="Times New Roman"/>
          <w:b w:val="0"/>
          <w:bCs w:val="0"/>
          <w:sz w:val="32"/>
          <w:szCs w:val="32"/>
          <w:lang w:eastAsia="zh-CN"/>
        </w:rPr>
        <w:t>等地</w:t>
      </w:r>
      <w:r>
        <w:rPr>
          <w:rFonts w:hint="default" w:ascii="Times New Roman" w:hAnsi="Times New Roman" w:eastAsia="仿宋_GB2312" w:cs="Times New Roman"/>
          <w:b w:val="0"/>
          <w:bCs w:val="0"/>
          <w:sz w:val="32"/>
          <w:szCs w:val="32"/>
          <w:lang w:eastAsia="zh-CN"/>
        </w:rPr>
        <w:t>集中开展2021年全民国家安全教育日普法宣传活动，共发放《国家安全法》等宣传书籍和资料3300余份。三是加强反恐防恐工作。牵头组织反恐防恐重点目标单位大排查工作，共下发当场处罚决定书、隐患整改通知书1</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eastAsia="zh-CN"/>
        </w:rPr>
        <w:t>份，提出整改意见25条；四是</w:t>
      </w:r>
      <w:r>
        <w:rPr>
          <w:rFonts w:hint="eastAsia" w:ascii="Times New Roman" w:hAnsi="Times New Roman" w:eastAsia="仿宋_GB2312" w:cs="Times New Roman"/>
          <w:b w:val="0"/>
          <w:bCs w:val="0"/>
          <w:sz w:val="32"/>
          <w:szCs w:val="32"/>
          <w:lang w:eastAsia="zh-CN"/>
        </w:rPr>
        <w:t>加强</w:t>
      </w:r>
      <w:r>
        <w:rPr>
          <w:rFonts w:hint="default" w:ascii="Times New Roman" w:hAnsi="Times New Roman" w:eastAsia="仿宋_GB2312" w:cs="Times New Roman"/>
          <w:b w:val="0"/>
          <w:bCs w:val="0"/>
          <w:sz w:val="32"/>
          <w:szCs w:val="32"/>
          <w:lang w:eastAsia="zh-CN"/>
        </w:rPr>
        <w:t>邪教组织</w:t>
      </w:r>
      <w:r>
        <w:rPr>
          <w:rFonts w:hint="eastAsia" w:ascii="Times New Roman" w:hAnsi="Times New Roman" w:eastAsia="仿宋_GB2312" w:cs="Times New Roman"/>
          <w:b w:val="0"/>
          <w:bCs w:val="0"/>
          <w:sz w:val="32"/>
          <w:szCs w:val="32"/>
          <w:lang w:eastAsia="zh-CN"/>
        </w:rPr>
        <w:t>的</w:t>
      </w:r>
      <w:r>
        <w:rPr>
          <w:rFonts w:hint="default" w:ascii="Times New Roman" w:hAnsi="Times New Roman" w:eastAsia="仿宋_GB2312" w:cs="Times New Roman"/>
          <w:b w:val="0"/>
          <w:bCs w:val="0"/>
          <w:sz w:val="32"/>
          <w:szCs w:val="32"/>
          <w:lang w:eastAsia="zh-CN"/>
        </w:rPr>
        <w:t>打击防范</w:t>
      </w:r>
      <w:r>
        <w:rPr>
          <w:rFonts w:hint="eastAsia" w:ascii="Times New Roman" w:hAnsi="Times New Roman" w:eastAsia="仿宋_GB2312" w:cs="Times New Roman"/>
          <w:b w:val="0"/>
          <w:bCs w:val="0"/>
          <w:sz w:val="32"/>
          <w:szCs w:val="32"/>
          <w:lang w:eastAsia="zh-CN"/>
        </w:rPr>
        <w:t>工作</w:t>
      </w:r>
      <w:r>
        <w:rPr>
          <w:rFonts w:hint="default" w:ascii="Times New Roman" w:hAnsi="Times New Roman" w:eastAsia="仿宋_GB2312" w:cs="Times New Roman"/>
          <w:b w:val="0"/>
          <w:bCs w:val="0"/>
          <w:sz w:val="32"/>
          <w:szCs w:val="32"/>
          <w:lang w:eastAsia="zh-CN"/>
        </w:rPr>
        <w:t>。抓好“敲门行动”成果应用和大数据推广应用，严防造成恶劣影响；五是</w:t>
      </w:r>
      <w:r>
        <w:rPr>
          <w:rFonts w:hint="eastAsia" w:ascii="Times New Roman" w:hAnsi="Times New Roman" w:eastAsia="仿宋_GB2312" w:cs="Times New Roman"/>
          <w:b w:val="0"/>
          <w:bCs w:val="0"/>
          <w:sz w:val="32"/>
          <w:szCs w:val="32"/>
          <w:lang w:eastAsia="zh-CN"/>
        </w:rPr>
        <w:t>加强</w:t>
      </w:r>
      <w:r>
        <w:rPr>
          <w:rFonts w:hint="default" w:ascii="Times New Roman" w:hAnsi="Times New Roman" w:eastAsia="仿宋_GB2312" w:cs="Times New Roman"/>
          <w:b w:val="0"/>
          <w:bCs w:val="0"/>
          <w:sz w:val="32"/>
          <w:szCs w:val="32"/>
          <w:lang w:eastAsia="zh-CN"/>
        </w:rPr>
        <w:t>境外宗教渗透和</w:t>
      </w:r>
      <w:r>
        <w:rPr>
          <w:rFonts w:hint="eastAsia" w:ascii="Times New Roman" w:hAnsi="Times New Roman" w:eastAsia="仿宋_GB2312" w:cs="Times New Roman"/>
          <w:b w:val="0"/>
          <w:bCs w:val="0"/>
          <w:sz w:val="32"/>
          <w:szCs w:val="32"/>
          <w:lang w:eastAsia="zh-CN"/>
        </w:rPr>
        <w:t>“三化”治理工作</w:t>
      </w:r>
      <w:r>
        <w:rPr>
          <w:rFonts w:hint="default" w:ascii="Times New Roman" w:hAnsi="Times New Roman" w:eastAsia="仿宋_GB2312" w:cs="Times New Roman"/>
          <w:b w:val="0"/>
          <w:bCs w:val="0"/>
          <w:sz w:val="32"/>
          <w:szCs w:val="32"/>
          <w:lang w:eastAsia="zh-CN"/>
        </w:rPr>
        <w:t>。六是</w:t>
      </w:r>
      <w:r>
        <w:rPr>
          <w:rFonts w:hint="eastAsia" w:ascii="Times New Roman" w:hAnsi="Times New Roman" w:eastAsia="仿宋_GB2312" w:cs="Times New Roman"/>
          <w:b w:val="0"/>
          <w:bCs w:val="0"/>
          <w:sz w:val="32"/>
          <w:szCs w:val="32"/>
          <w:lang w:eastAsia="zh-CN"/>
        </w:rPr>
        <w:t>加强</w:t>
      </w:r>
      <w:r>
        <w:rPr>
          <w:rFonts w:hint="default" w:ascii="Times New Roman" w:hAnsi="Times New Roman" w:eastAsia="仿宋_GB2312" w:cs="Times New Roman"/>
          <w:b w:val="0"/>
          <w:bCs w:val="0"/>
          <w:sz w:val="32"/>
          <w:szCs w:val="32"/>
          <w:lang w:eastAsia="zh-CN"/>
        </w:rPr>
        <w:t>境外非政府组织渗透活动</w:t>
      </w:r>
      <w:r>
        <w:rPr>
          <w:rFonts w:hint="eastAsia" w:ascii="Times New Roman" w:hAnsi="Times New Roman" w:eastAsia="仿宋_GB2312" w:cs="Times New Roman"/>
          <w:b w:val="0"/>
          <w:bCs w:val="0"/>
          <w:sz w:val="32"/>
          <w:szCs w:val="32"/>
          <w:lang w:eastAsia="zh-CN"/>
        </w:rPr>
        <w:t>防范</w:t>
      </w:r>
      <w:r>
        <w:rPr>
          <w:rFonts w:hint="default" w:ascii="Times New Roman" w:hAnsi="Times New Roman" w:eastAsia="仿宋_GB2312" w:cs="Times New Roman"/>
          <w:b w:val="0"/>
          <w:bCs w:val="0"/>
          <w:sz w:val="32"/>
          <w:szCs w:val="32"/>
          <w:lang w:eastAsia="zh-CN"/>
        </w:rPr>
        <w:t>。七是</w:t>
      </w:r>
      <w:r>
        <w:rPr>
          <w:rFonts w:hint="eastAsia" w:ascii="Times New Roman" w:hAnsi="Times New Roman" w:eastAsia="仿宋_GB2312" w:cs="Times New Roman"/>
          <w:b w:val="0"/>
          <w:bCs w:val="0"/>
          <w:sz w:val="32"/>
          <w:szCs w:val="32"/>
          <w:lang w:eastAsia="zh-CN"/>
        </w:rPr>
        <w:t>加强</w:t>
      </w:r>
      <w:r>
        <w:rPr>
          <w:rFonts w:hint="default" w:ascii="Times New Roman" w:hAnsi="Times New Roman" w:eastAsia="仿宋_GB2312" w:cs="Times New Roman"/>
          <w:b w:val="0"/>
          <w:bCs w:val="0"/>
          <w:sz w:val="32"/>
          <w:szCs w:val="32"/>
          <w:lang w:eastAsia="zh-CN"/>
        </w:rPr>
        <w:t>各类社会风险向政治安全领域传导</w:t>
      </w:r>
      <w:r>
        <w:rPr>
          <w:rFonts w:hint="eastAsia" w:ascii="Times New Roman" w:hAnsi="Times New Roman" w:eastAsia="仿宋_GB2312" w:cs="Times New Roman"/>
          <w:b w:val="0"/>
          <w:bCs w:val="0"/>
          <w:sz w:val="32"/>
          <w:szCs w:val="32"/>
          <w:lang w:eastAsia="zh-CN"/>
        </w:rPr>
        <w:t>的防范</w:t>
      </w:r>
      <w:r>
        <w:rPr>
          <w:rFonts w:hint="default" w:ascii="Times New Roman" w:hAnsi="Times New Roman" w:eastAsia="仿宋_GB2312" w:cs="Times New Roman"/>
          <w:b w:val="0"/>
          <w:bCs w:val="0"/>
          <w:sz w:val="32"/>
          <w:szCs w:val="32"/>
          <w:lang w:eastAsia="zh-CN"/>
        </w:rPr>
        <w:t>。深入开展影响社会稳定矛盾纠纷问题排查专项工作，对排查发现的矛盾纠纷及时预警，通报相关部门逐一落实稳控责任，做到发现在早、防范在先、处置在小。</w:t>
      </w:r>
    </w:p>
    <w:p>
      <w:pPr>
        <w:widowControl w:val="0"/>
        <w:wordWrap/>
        <w:adjustRightInd w:val="0"/>
        <w:snapToGrid w:val="0"/>
        <w:spacing w:line="560" w:lineRule="exact"/>
        <w:ind w:left="0" w:leftChars="0" w:right="0" w:firstLine="640" w:firstLineChars="200"/>
        <w:contextualSpacing/>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Cs/>
          <w:sz w:val="32"/>
          <w:szCs w:val="32"/>
          <w:lang w:val="en-US" w:eastAsia="zh-CN"/>
        </w:rPr>
        <w:t>b、</w:t>
      </w:r>
      <w:r>
        <w:rPr>
          <w:rFonts w:hint="default" w:ascii="Times New Roman" w:hAnsi="Times New Roman" w:eastAsia="楷体_GB2312" w:cs="Times New Roman"/>
          <w:sz w:val="32"/>
          <w:szCs w:val="32"/>
          <w:lang w:eastAsia="zh-CN"/>
        </w:rPr>
        <w:t>全力做好</w:t>
      </w:r>
      <w:r>
        <w:rPr>
          <w:rFonts w:hint="default" w:ascii="Times New Roman" w:hAnsi="Times New Roman" w:eastAsia="楷体" w:cs="Times New Roman"/>
          <w:bCs/>
          <w:sz w:val="32"/>
          <w:szCs w:val="32"/>
        </w:rPr>
        <w:t>重大风险防范化解</w:t>
      </w:r>
      <w:r>
        <w:rPr>
          <w:rFonts w:hint="eastAsia" w:ascii="Times New Roman" w:hAnsi="Times New Roman" w:eastAsia="楷体" w:cs="Times New Roman"/>
          <w:bCs/>
          <w:sz w:val="32"/>
          <w:szCs w:val="32"/>
          <w:lang w:eastAsia="zh-CN"/>
        </w:rPr>
        <w:t>。</w:t>
      </w:r>
      <w:r>
        <w:rPr>
          <w:rFonts w:hint="default" w:ascii="Times New Roman" w:hAnsi="Times New Roman" w:eastAsia="仿宋_GB2312" w:cs="Times New Roman"/>
          <w:b w:val="0"/>
          <w:bCs w:val="0"/>
          <w:sz w:val="32"/>
          <w:szCs w:val="32"/>
          <w:lang w:eastAsia="zh-CN"/>
        </w:rPr>
        <w:t>一是强化风险隐患排查和矛盾纠纷化解。坚持情报先行、强化情报联动，做实做细重点人员及群体风险评估筛查，排查矛盾纠纷1815起，化解1793起，化解率为98.79%</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确保因矛盾纠纷引发个人极端暴力情况零发生。二是强化重点人员和群体管控。深入开展肇事肇祸精神病患者摸排管控，共摸排管控424人，未发生病患人员漏管失控情况；三是防范化解金融领域风险隐患。结合涉风险企业及“区块链技术”等风险机构集中摸排工作，积极联合区金融办、市场监督管理局等单位深入辖区内开展金融风险隐患大排查，共梳理、上报历年来集资诈骗、非法集资、非法吸收公众案件利益受损群体共计4000余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有效阻断了金融领域风险隐患向社会风险和政治风险传导。</w:t>
      </w:r>
    </w:p>
    <w:p>
      <w:pPr>
        <w:widowControl w:val="0"/>
        <w:wordWrap/>
        <w:adjustRightInd w:val="0"/>
        <w:snapToGrid w:val="0"/>
        <w:spacing w:line="560" w:lineRule="exact"/>
        <w:ind w:left="0" w:leftChars="0" w:right="0" w:firstLine="640" w:firstLineChars="200"/>
        <w:contextualSpacing/>
        <w:jc w:val="left"/>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楷体" w:cs="Times New Roman"/>
          <w:b w:val="0"/>
          <w:bCs/>
          <w:sz w:val="32"/>
          <w:szCs w:val="32"/>
          <w:lang w:val="en-US" w:eastAsia="zh-CN"/>
        </w:rPr>
        <w:t>c、</w:t>
      </w:r>
      <w:r>
        <w:rPr>
          <w:rFonts w:hint="default" w:ascii="Times New Roman" w:hAnsi="Times New Roman" w:eastAsia="楷体_GB2312" w:cs="Times New Roman"/>
          <w:b w:val="0"/>
          <w:bCs/>
          <w:sz w:val="32"/>
          <w:szCs w:val="32"/>
        </w:rPr>
        <w:t>始终保持严打高压态势</w:t>
      </w:r>
      <w:r>
        <w:rPr>
          <w:rFonts w:hint="default" w:ascii="Times New Roman" w:hAnsi="Times New Roman" w:eastAsia="楷体" w:cs="Times New Roman"/>
          <w:b w:val="0"/>
          <w:bCs/>
          <w:sz w:val="32"/>
          <w:szCs w:val="32"/>
        </w:rPr>
        <w:t>。</w:t>
      </w:r>
      <w:r>
        <w:rPr>
          <w:rFonts w:hint="default" w:ascii="Times New Roman" w:hAnsi="Times New Roman" w:eastAsia="仿宋_GB2312" w:cs="Times New Roman"/>
          <w:b w:val="0"/>
          <w:bCs/>
          <w:sz w:val="32"/>
          <w:szCs w:val="32"/>
        </w:rPr>
        <w:t>围绕“发案少、秩序好、社会稳定、群众满意”总要求，以打击破案为主线，以重点地区严打整治，打击盗抢骗、电信网络诈骗、跨境违法犯罪</w:t>
      </w:r>
      <w:r>
        <w:rPr>
          <w:rFonts w:hint="default" w:ascii="Times New Roman" w:hAnsi="Times New Roman" w:eastAsia="仿宋_GB2312" w:cs="Times New Roman"/>
          <w:b w:val="0"/>
          <w:bCs/>
          <w:sz w:val="32"/>
          <w:szCs w:val="32"/>
          <w:lang w:eastAsia="zh-CN"/>
        </w:rPr>
        <w:t>、夏季风暴</w:t>
      </w:r>
      <w:r>
        <w:rPr>
          <w:rFonts w:hint="default" w:ascii="Times New Roman" w:hAnsi="Times New Roman" w:eastAsia="仿宋_GB2312" w:cs="Times New Roman"/>
          <w:b w:val="0"/>
          <w:bCs/>
          <w:sz w:val="32"/>
          <w:szCs w:val="32"/>
        </w:rPr>
        <w:t>等专项行动</w:t>
      </w:r>
      <w:r>
        <w:rPr>
          <w:rFonts w:hint="default" w:ascii="Times New Roman" w:hAnsi="Times New Roman" w:eastAsia="仿宋_GB2312" w:cs="Times New Roman"/>
          <w:b w:val="0"/>
          <w:bCs/>
          <w:sz w:val="32"/>
          <w:szCs w:val="32"/>
          <w:lang w:eastAsia="zh-CN"/>
        </w:rPr>
        <w:t>为重点</w:t>
      </w:r>
      <w:r>
        <w:rPr>
          <w:rFonts w:hint="default" w:ascii="Times New Roman" w:hAnsi="Times New Roman" w:eastAsia="仿宋_GB2312" w:cs="Times New Roman"/>
          <w:b w:val="0"/>
          <w:bCs/>
          <w:sz w:val="32"/>
          <w:szCs w:val="32"/>
        </w:rPr>
        <w:t>，全面提升打击犯罪整体效能。</w:t>
      </w:r>
      <w:r>
        <w:rPr>
          <w:rFonts w:hint="default" w:ascii="Times New Roman" w:hAnsi="Times New Roman" w:eastAsia="仿宋_GB2312" w:cs="Times New Roman"/>
          <w:b w:val="0"/>
          <w:bCs/>
          <w:sz w:val="32"/>
          <w:szCs w:val="32"/>
          <w:lang w:eastAsia="zh-CN"/>
        </w:rPr>
        <w:t>一是打处总体情况。今年来，</w:t>
      </w:r>
      <w:r>
        <w:rPr>
          <w:rFonts w:hint="default" w:ascii="Times New Roman" w:hAnsi="Times New Roman" w:eastAsia="仿宋_GB2312" w:cs="Times New Roman"/>
          <w:b w:val="0"/>
          <w:bCs/>
          <w:sz w:val="32"/>
          <w:szCs w:val="32"/>
        </w:rPr>
        <w:t>共立刑事案件3071起</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刑拘刑侦治安类嫌疑人880人</w:t>
      </w:r>
      <w:r>
        <w:rPr>
          <w:rFonts w:hint="default" w:ascii="Times New Roman" w:hAnsi="Times New Roman" w:eastAsia="仿宋_GB2312" w:cs="Times New Roman"/>
          <w:b w:val="0"/>
          <w:bCs/>
          <w:sz w:val="32"/>
          <w:szCs w:val="32"/>
          <w:lang w:eastAsia="zh-CN"/>
        </w:rPr>
        <w:t>，同比</w:t>
      </w:r>
      <w:r>
        <w:rPr>
          <w:rFonts w:hint="default" w:ascii="Times New Roman" w:hAnsi="Times New Roman" w:eastAsia="仿宋_GB2312" w:cs="Times New Roman"/>
          <w:b w:val="0"/>
          <w:bCs/>
          <w:sz w:val="32"/>
          <w:szCs w:val="32"/>
        </w:rPr>
        <w:t>上升57.99%；打处497人</w:t>
      </w:r>
      <w:r>
        <w:rPr>
          <w:rFonts w:hint="default" w:ascii="Times New Roman" w:hAnsi="Times New Roman" w:eastAsia="仿宋_GB2312" w:cs="Times New Roman"/>
          <w:b w:val="0"/>
          <w:bCs/>
          <w:sz w:val="32"/>
          <w:szCs w:val="32"/>
          <w:lang w:eastAsia="zh-CN"/>
        </w:rPr>
        <w:t>，同比</w:t>
      </w:r>
      <w:r>
        <w:rPr>
          <w:rFonts w:hint="default" w:ascii="Times New Roman" w:hAnsi="Times New Roman" w:eastAsia="仿宋_GB2312" w:cs="Times New Roman"/>
          <w:b w:val="0"/>
          <w:bCs/>
          <w:sz w:val="32"/>
          <w:szCs w:val="32"/>
        </w:rPr>
        <w:t>上升93.34%。</w:t>
      </w:r>
      <w:r>
        <w:rPr>
          <w:rFonts w:hint="default" w:ascii="Times New Roman" w:hAnsi="Times New Roman" w:eastAsia="仿宋_GB2312" w:cs="Times New Roman"/>
          <w:b w:val="0"/>
          <w:bCs/>
          <w:sz w:val="32"/>
          <w:szCs w:val="32"/>
          <w:lang w:eastAsia="zh-CN"/>
        </w:rPr>
        <w:t>二是坚决打好扫黑除恶常态化斗争。持续开展线索清仓</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三是严厉打击盗抢骗等影响群众安全感的突出犯罪。按照“更快地破大案、更多地破小案、更准地办好案”的要求</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通过采取强化专业打击、完善联动机制、组织专案等多项工作措施全力打击传统盗抢骗违法犯罪，不断提升人民群众的安全感和满意度。四是不断深化打击治理电信网络新型违法犯罪。今年来共抓获涉网违法犯罪嫌疑人426人，同比上升309.61%，刑拘265人，同比上升320.63%，逮捕147人，同比上升258.54%。构建全民反诈新格局，制定进家入户包保宣传机制，采取“1包N户”的办法，深入开展“反诈”宣传进社区、进学校、进企业、进单位“四进”宣传活动，有效提升全区人民群众防范电信网络诈骗知晓率，推动全区打击治理电信网络诈骗犯罪工作持续走向深入，切实打响“全民反诈、全社会反诈”人民战争。今年来推广注册“金钟罩”反诈小程序533768人次，推广国家反诈APP注册60328人。共预警劝阻97388人次，为群众避免直接经济损失上2000余万元。加强止付冻结，构建财产安全新网络，今年来共止付冻结涉案账户1120个，冻结涉案资金5653.33万元，五是开展打击跨境违法犯罪专项行动。分局</w:t>
      </w:r>
      <w:r>
        <w:rPr>
          <w:rFonts w:hint="eastAsia" w:ascii="Times New Roman" w:hAnsi="Times New Roman" w:eastAsia="仿宋_GB2312" w:cs="Times New Roman"/>
          <w:b w:val="0"/>
          <w:bCs/>
          <w:sz w:val="32"/>
          <w:szCs w:val="32"/>
          <w:lang w:val="en-US" w:eastAsia="zh-CN"/>
        </w:rPr>
        <w:t>共</w:t>
      </w:r>
      <w:r>
        <w:rPr>
          <w:rFonts w:hint="default" w:ascii="Times New Roman" w:hAnsi="Times New Roman" w:eastAsia="仿宋_GB2312" w:cs="Times New Roman"/>
          <w:b w:val="0"/>
          <w:bCs/>
          <w:sz w:val="32"/>
          <w:szCs w:val="32"/>
        </w:rPr>
        <w:t>查获</w:t>
      </w:r>
      <w:r>
        <w:rPr>
          <w:rFonts w:hint="eastAsia" w:ascii="Times New Roman" w:hAnsi="Times New Roman" w:eastAsia="仿宋_GB2312" w:cs="Times New Roman"/>
          <w:b w:val="0"/>
          <w:bCs/>
          <w:sz w:val="32"/>
          <w:szCs w:val="32"/>
          <w:lang w:eastAsia="zh-CN"/>
        </w:rPr>
        <w:t>并行政处罚</w:t>
      </w:r>
      <w:r>
        <w:rPr>
          <w:rFonts w:hint="default" w:ascii="Times New Roman" w:hAnsi="Times New Roman" w:eastAsia="仿宋_GB2312" w:cs="Times New Roman"/>
          <w:b w:val="0"/>
          <w:bCs/>
          <w:sz w:val="32"/>
          <w:szCs w:val="32"/>
        </w:rPr>
        <w:t>“三非”</w:t>
      </w:r>
      <w:r>
        <w:rPr>
          <w:rFonts w:hint="eastAsia" w:ascii="Times New Roman" w:hAnsi="Times New Roman" w:eastAsia="仿宋_GB2312" w:cs="Times New Roman"/>
          <w:b w:val="0"/>
          <w:bCs/>
          <w:sz w:val="32"/>
          <w:szCs w:val="32"/>
          <w:lang w:eastAsia="zh-CN"/>
        </w:rPr>
        <w:t>人员</w:t>
      </w:r>
      <w:r>
        <w:rPr>
          <w:rFonts w:hint="default" w:ascii="Times New Roman" w:hAnsi="Times New Roman" w:eastAsia="仿宋_GB2312" w:cs="Times New Roman"/>
          <w:b w:val="0"/>
          <w:bCs/>
          <w:sz w:val="32"/>
          <w:szCs w:val="32"/>
        </w:rPr>
        <w:t>57人</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共查处跨境赌博治安案件443起</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六是严打涉毒违法犯罪。今年来共破获毒品刑事案件56件、抓获涉毒犯罪嫌疑人59人、起诉47人，缴获毒品99.71千克。</w:t>
      </w:r>
    </w:p>
    <w:p>
      <w:pPr>
        <w:widowControl w:val="0"/>
        <w:wordWrap/>
        <w:adjustRightInd w:val="0"/>
        <w:snapToGrid w:val="0"/>
        <w:spacing w:line="560" w:lineRule="exact"/>
        <w:ind w:left="0" w:leftChars="0" w:right="0" w:firstLine="640" w:firstLineChars="200"/>
        <w:contextualSpacing/>
        <w:jc w:val="left"/>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楷体" w:cs="Times New Roman"/>
          <w:b w:val="0"/>
          <w:bCs/>
          <w:sz w:val="32"/>
          <w:szCs w:val="32"/>
          <w:lang w:val="en-US" w:eastAsia="zh-CN"/>
        </w:rPr>
        <w:t>d、</w:t>
      </w:r>
      <w:r>
        <w:rPr>
          <w:rFonts w:hint="default" w:ascii="Times New Roman" w:hAnsi="Times New Roman" w:eastAsia="楷体_GB2312" w:cs="Times New Roman"/>
          <w:b w:val="0"/>
          <w:bCs/>
          <w:sz w:val="32"/>
          <w:szCs w:val="32"/>
          <w:lang w:eastAsia="zh-CN"/>
        </w:rPr>
        <w:t>全力实现</w:t>
      </w:r>
      <w:r>
        <w:rPr>
          <w:rFonts w:hint="default" w:ascii="Times New Roman" w:hAnsi="Times New Roman" w:eastAsia="楷体_GB2312" w:cs="Times New Roman"/>
          <w:b w:val="0"/>
          <w:bCs/>
          <w:sz w:val="32"/>
          <w:szCs w:val="32"/>
        </w:rPr>
        <w:t>社会治安净化提质。</w:t>
      </w:r>
      <w:r>
        <w:rPr>
          <w:rFonts w:hint="default" w:ascii="Times New Roman" w:hAnsi="Times New Roman" w:eastAsia="仿宋_GB2312" w:cs="Times New Roman"/>
          <w:b w:val="0"/>
          <w:bCs/>
          <w:color w:val="000000"/>
          <w:kern w:val="2"/>
          <w:sz w:val="32"/>
          <w:szCs w:val="32"/>
          <w:lang w:val="en-US" w:eastAsia="zh-CN" w:bidi="ar-SA"/>
        </w:rPr>
        <w:t>一是全力开展“夏季风暴”专项行动。为全面做好建党100周年暨COP15安保维稳工作，全警持续奋战、精准发力，专项行动取得优异成绩，多项工作取得较大突破。</w:t>
      </w:r>
      <w:r>
        <w:rPr>
          <w:rFonts w:hint="default" w:ascii="Times New Roman" w:hAnsi="Times New Roman" w:eastAsia="仿宋_GB2312" w:cs="Times New Roman"/>
          <w:b w:val="0"/>
          <w:bCs/>
          <w:sz w:val="32"/>
          <w:szCs w:val="32"/>
          <w:lang w:eastAsia="zh-CN"/>
        </w:rPr>
        <w:t>二是持续打击“黄赌毒食药环”等危害社会治安违法犯罪</w:t>
      </w:r>
      <w:r>
        <w:rPr>
          <w:rFonts w:hint="default" w:ascii="Times New Roman" w:hAnsi="Times New Roman" w:eastAsia="仿宋_GB2312" w:cs="Times New Roman"/>
          <w:b w:val="0"/>
          <w:bCs/>
          <w:sz w:val="32"/>
          <w:szCs w:val="32"/>
        </w:rPr>
        <w:t>。共受理治安案件5403起，查处违法行为人2243人，</w:t>
      </w:r>
      <w:r>
        <w:rPr>
          <w:rFonts w:hint="default" w:ascii="Times New Roman" w:hAnsi="Times New Roman" w:eastAsia="仿宋_GB2312" w:cs="Times New Roman"/>
          <w:b w:val="0"/>
          <w:bCs/>
          <w:sz w:val="32"/>
          <w:szCs w:val="32"/>
          <w:lang w:eastAsia="zh-CN"/>
        </w:rPr>
        <w:t>三是持续开展清查整治统一行动。共</w:t>
      </w:r>
      <w:r>
        <w:rPr>
          <w:rFonts w:hint="default" w:ascii="Times New Roman" w:hAnsi="Times New Roman" w:eastAsia="仿宋_GB2312" w:cs="Times New Roman"/>
          <w:b w:val="0"/>
          <w:bCs/>
          <w:sz w:val="32"/>
          <w:szCs w:val="32"/>
        </w:rPr>
        <w:t>整治重点区域、点位107个，城中村63个，整治行业场所927家次、发放告知书9708份</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eastAsia="zh-CN"/>
        </w:rPr>
        <w:t>三是全力推动平安小区建设。实现174个“两区一村”智慧安防建设全覆盖，实现社会面技防能力不断提档升级。一年来共创建“零发案”小区、城中村136个，占比达78.6%。四是全面提升巡逻防控效能。</w:t>
      </w:r>
      <w:r>
        <w:rPr>
          <w:rFonts w:hint="default" w:ascii="Times New Roman" w:hAnsi="Times New Roman" w:eastAsia="仿宋_GB2312" w:cs="Times New Roman"/>
          <w:b w:val="0"/>
          <w:bCs/>
          <w:kern w:val="2"/>
          <w:sz w:val="32"/>
          <w:szCs w:val="32"/>
          <w:shd w:val="clear" w:color="auto" w:fill="FFFFFF"/>
          <w:lang w:val="en-US" w:eastAsia="zh-CN" w:bidi="ar-SA"/>
        </w:rPr>
        <w:t>全面深化巡逻防控勤务改革，</w:t>
      </w:r>
      <w:r>
        <w:rPr>
          <w:rFonts w:hint="default" w:ascii="Times New Roman" w:hAnsi="Times New Roman" w:eastAsia="仿宋_GB2312" w:cs="Times New Roman"/>
          <w:b w:val="0"/>
          <w:bCs/>
          <w:kern w:val="2"/>
          <w:sz w:val="32"/>
          <w:szCs w:val="32"/>
          <w:lang w:val="en-US" w:eastAsia="zh-CN" w:bidi="ar-SA"/>
        </w:rPr>
        <w:t>组建特勤中队和“呈鹰突击队”，</w:t>
      </w:r>
      <w:r>
        <w:rPr>
          <w:rFonts w:hint="default" w:ascii="Times New Roman" w:hAnsi="Times New Roman" w:eastAsia="仿宋_GB2312" w:cs="Times New Roman"/>
          <w:b w:val="0"/>
          <w:bCs/>
          <w:kern w:val="32"/>
          <w:sz w:val="32"/>
          <w:szCs w:val="32"/>
          <w:lang w:val="en-US" w:eastAsia="zh-CN" w:bidi="ar-SA"/>
        </w:rPr>
        <w:t>高标准打造一支公安牵头，社区、单位广泛参与的专业化巡逻防控队伍，最大限度屯警街面，构建区、街道、社区三级巡逻队伍体系</w:t>
      </w:r>
      <w:r>
        <w:rPr>
          <w:rFonts w:hint="eastAsia" w:ascii="Times New Roman" w:hAnsi="Times New Roman" w:eastAsia="仿宋_GB2312" w:cs="Times New Roman"/>
          <w:b w:val="0"/>
          <w:bCs/>
          <w:kern w:val="32"/>
          <w:sz w:val="32"/>
          <w:szCs w:val="32"/>
          <w:lang w:val="en-US" w:eastAsia="zh-CN" w:bidi="ar-SA"/>
        </w:rPr>
        <w:t>。</w:t>
      </w:r>
    </w:p>
    <w:p>
      <w:pPr>
        <w:pBdr>
          <w:top w:val="single" w:color="FFFFFF" w:sz="4" w:space="0"/>
          <w:left w:val="single" w:color="FFFFFF" w:sz="4" w:space="0"/>
          <w:bottom w:val="single" w:color="FFFFFF" w:sz="4" w:space="31"/>
          <w:right w:val="single" w:color="FFFFFF" w:sz="4" w:space="23"/>
        </w:pBdr>
        <w:wordWrap/>
        <w:spacing w:beforeAutospacing="0" w:afterAutospacing="0" w:line="580" w:lineRule="exact"/>
        <w:ind w:left="0" w:leftChars="0" w:right="0" w:firstLine="640" w:firstLineChars="200"/>
        <w:textAlignment w:val="baseline"/>
        <w:outlineLvl w:val="9"/>
        <w:rPr>
          <w:rFonts w:hint="default" w:ascii="Times New Roman" w:hAnsi="Times New Roman" w:eastAsia="仿宋_GB2312" w:cs="Times New Roman"/>
          <w:b w:val="0"/>
          <w:bCs w:val="0"/>
          <w:sz w:val="32"/>
          <w:szCs w:val="32"/>
        </w:rPr>
      </w:pPr>
      <w:r>
        <w:rPr>
          <w:rFonts w:hint="default" w:ascii="Times New Roman" w:hAnsi="Times New Roman" w:eastAsia="楷体" w:cs="Times New Roman"/>
          <w:bCs/>
          <w:sz w:val="32"/>
          <w:szCs w:val="32"/>
          <w:lang w:val="en-US" w:eastAsia="zh-CN"/>
        </w:rPr>
        <w:t>e、</w:t>
      </w:r>
      <w:r>
        <w:rPr>
          <w:rFonts w:hint="default" w:ascii="Times New Roman" w:hAnsi="Times New Roman" w:eastAsia="楷体_GB2312" w:cs="Times New Roman"/>
          <w:sz w:val="32"/>
          <w:szCs w:val="32"/>
          <w:lang w:eastAsia="zh-CN"/>
        </w:rPr>
        <w:t>全力</w:t>
      </w:r>
      <w:r>
        <w:rPr>
          <w:rFonts w:hint="default" w:ascii="Times New Roman" w:hAnsi="Times New Roman" w:eastAsia="楷体_GB2312" w:cs="Times New Roman"/>
          <w:sz w:val="32"/>
          <w:szCs w:val="32"/>
        </w:rPr>
        <w:t>做好疫情防控工作。</w:t>
      </w:r>
      <w:r>
        <w:rPr>
          <w:rFonts w:hint="default" w:ascii="Times New Roman" w:hAnsi="Times New Roman" w:eastAsia="仿宋_GB2312" w:cs="Times New Roman"/>
          <w:b w:val="0"/>
          <w:bCs w:val="0"/>
          <w:sz w:val="32"/>
          <w:szCs w:val="32"/>
          <w:lang w:eastAsia="zh-CN"/>
        </w:rPr>
        <w:t>一是</w:t>
      </w:r>
      <w:r>
        <w:rPr>
          <w:rFonts w:hint="default" w:ascii="Times New Roman" w:hAnsi="Times New Roman" w:eastAsia="仿宋_GB2312" w:cs="Times New Roman"/>
          <w:b w:val="0"/>
          <w:bCs w:val="0"/>
          <w:sz w:val="32"/>
          <w:szCs w:val="32"/>
        </w:rPr>
        <w:t>加强研判及人员信息核查。密切关注疫情形势，认真分析研判疫情输入我区的风险隐患，适时启动高等级情报会商研判机制，提前采取应对措施。共协助区疫情防控指挥部核查中高风险地区、边境地区等地涉疫重点人600余批次13000余人</w:t>
      </w:r>
      <w:r>
        <w:rPr>
          <w:rFonts w:hint="default" w:ascii="Times New Roman" w:hAnsi="Times New Roman" w:eastAsia="仿宋_GB2312" w:cs="Times New Roman"/>
          <w:b w:val="0"/>
          <w:bCs w:val="0"/>
          <w:sz w:val="32"/>
          <w:szCs w:val="32"/>
          <w:lang w:eastAsia="zh-CN"/>
        </w:rPr>
        <w:t>。二是</w:t>
      </w:r>
      <w:r>
        <w:rPr>
          <w:rFonts w:hint="default" w:ascii="Times New Roman" w:hAnsi="Times New Roman" w:eastAsia="仿宋_GB2312" w:cs="Times New Roman"/>
          <w:b w:val="0"/>
          <w:bCs w:val="0"/>
          <w:sz w:val="32"/>
          <w:szCs w:val="32"/>
        </w:rPr>
        <w:t>做好重点区域、场所疫情管控。</w:t>
      </w:r>
      <w:r>
        <w:rPr>
          <w:rFonts w:hint="default" w:ascii="Times New Roman" w:hAnsi="Times New Roman" w:eastAsia="仿宋_GB2312" w:cs="Times New Roman"/>
          <w:b w:val="0"/>
          <w:bCs w:val="0"/>
          <w:sz w:val="32"/>
          <w:szCs w:val="32"/>
          <w:lang w:eastAsia="zh-CN"/>
        </w:rPr>
        <w:t>三是</w:t>
      </w:r>
      <w:r>
        <w:rPr>
          <w:rFonts w:hint="default" w:ascii="Times New Roman" w:hAnsi="Times New Roman" w:eastAsia="仿宋_GB2312" w:cs="Times New Roman"/>
          <w:b w:val="0"/>
          <w:bCs w:val="0"/>
          <w:sz w:val="32"/>
          <w:szCs w:val="32"/>
        </w:rPr>
        <w:t>做好集中观察指定酒店</w:t>
      </w:r>
      <w:r>
        <w:rPr>
          <w:rFonts w:hint="default" w:ascii="Times New Roman" w:hAnsi="Times New Roman" w:eastAsia="仿宋_GB2312" w:cs="Times New Roman"/>
          <w:b w:val="0"/>
          <w:bCs w:val="0"/>
          <w:sz w:val="32"/>
          <w:szCs w:val="32"/>
          <w:lang w:eastAsia="zh-CN"/>
        </w:rPr>
        <w:t>和疫苗接种点</w:t>
      </w:r>
      <w:r>
        <w:rPr>
          <w:rFonts w:hint="default" w:ascii="Times New Roman" w:hAnsi="Times New Roman" w:eastAsia="仿宋_GB2312" w:cs="Times New Roman"/>
          <w:b w:val="0"/>
          <w:bCs w:val="0"/>
          <w:sz w:val="32"/>
          <w:szCs w:val="32"/>
        </w:rPr>
        <w:t>治安管理。按照“5个1”标准，全力做好集中观察指定酒店等涉疫重点区域的安全值守、秩序维护、矛盾纠纷排查化解和政策法规宣讲等工作，</w:t>
      </w:r>
      <w:r>
        <w:rPr>
          <w:rFonts w:hint="default" w:ascii="Times New Roman" w:hAnsi="Times New Roman" w:eastAsia="仿宋_GB2312" w:cs="Times New Roman"/>
          <w:b w:val="0"/>
          <w:bCs w:val="0"/>
          <w:sz w:val="32"/>
          <w:szCs w:val="32"/>
          <w:lang w:eastAsia="zh-CN"/>
        </w:rPr>
        <w:t>留观</w:t>
      </w:r>
      <w:r>
        <w:rPr>
          <w:rFonts w:hint="default" w:ascii="Times New Roman" w:hAnsi="Times New Roman" w:eastAsia="仿宋_GB2312" w:cs="Times New Roman"/>
          <w:b w:val="0"/>
          <w:bCs w:val="0"/>
          <w:sz w:val="32"/>
          <w:szCs w:val="32"/>
        </w:rPr>
        <w:t>酒店</w:t>
      </w:r>
      <w:r>
        <w:rPr>
          <w:rFonts w:hint="default" w:ascii="Times New Roman" w:hAnsi="Times New Roman" w:eastAsia="仿宋_GB2312" w:cs="Times New Roman"/>
          <w:b w:val="0"/>
          <w:bCs w:val="0"/>
          <w:sz w:val="32"/>
          <w:szCs w:val="32"/>
          <w:lang w:eastAsia="zh-CN"/>
        </w:rPr>
        <w:t>共</w:t>
      </w:r>
      <w:r>
        <w:rPr>
          <w:rFonts w:hint="default" w:ascii="Times New Roman" w:hAnsi="Times New Roman" w:eastAsia="仿宋_GB2312" w:cs="Times New Roman"/>
          <w:b w:val="0"/>
          <w:bCs w:val="0"/>
          <w:sz w:val="32"/>
          <w:szCs w:val="32"/>
        </w:rPr>
        <w:t>留观4733人</w:t>
      </w:r>
      <w:r>
        <w:rPr>
          <w:rFonts w:hint="default" w:ascii="Times New Roman" w:hAnsi="Times New Roman" w:eastAsia="仿宋_GB2312" w:cs="Times New Roman"/>
          <w:b w:val="0"/>
          <w:bCs w:val="0"/>
          <w:sz w:val="32"/>
          <w:szCs w:val="32"/>
          <w:lang w:eastAsia="zh-CN"/>
        </w:rPr>
        <w:t>，未</w:t>
      </w:r>
      <w:r>
        <w:rPr>
          <w:rFonts w:hint="default" w:ascii="Times New Roman" w:hAnsi="Times New Roman" w:eastAsia="仿宋_GB2312" w:cs="Times New Roman"/>
          <w:b w:val="0"/>
          <w:bCs w:val="0"/>
          <w:sz w:val="32"/>
          <w:szCs w:val="32"/>
        </w:rPr>
        <w:t>发生留观人员逃脱隔离及其他安全事件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同时，分局制定方案、细化措施，组织警力全力维护呈贡区疫苗接种点治安秩序，接种点秩序良好。</w:t>
      </w:r>
      <w:r>
        <w:rPr>
          <w:rFonts w:hint="default" w:ascii="Times New Roman" w:hAnsi="Times New Roman" w:eastAsia="仿宋_GB2312" w:cs="Times New Roman"/>
          <w:b w:val="0"/>
          <w:bCs w:val="0"/>
          <w:sz w:val="32"/>
          <w:szCs w:val="32"/>
          <w:lang w:eastAsia="zh-CN"/>
        </w:rPr>
        <w:t>四是扎实做好内部疫情防控工作。</w:t>
      </w:r>
      <w:r>
        <w:rPr>
          <w:rFonts w:hint="default" w:ascii="Times New Roman" w:hAnsi="Times New Roman" w:eastAsia="仿宋_GB2312" w:cs="Times New Roman"/>
          <w:b w:val="0"/>
          <w:bCs w:val="0"/>
          <w:sz w:val="32"/>
          <w:szCs w:val="32"/>
        </w:rPr>
        <w:t>做好营区安全防范</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严格落实营区扫码亮码、佩戴口罩、体温检测、消杀等疫情防控措施。</w:t>
      </w:r>
    </w:p>
    <w:p>
      <w:pPr>
        <w:pBdr>
          <w:top w:val="single" w:color="FFFFFF" w:sz="4" w:space="0"/>
          <w:left w:val="single" w:color="FFFFFF" w:sz="4" w:space="0"/>
          <w:bottom w:val="single" w:color="FFFFFF" w:sz="4" w:space="31"/>
          <w:right w:val="single" w:color="FFFFFF" w:sz="4" w:space="23"/>
        </w:pBdr>
        <w:wordWrap/>
        <w:spacing w:beforeAutospacing="0" w:afterAutospacing="0" w:line="580" w:lineRule="exact"/>
        <w:ind w:left="0" w:leftChars="0" w:right="0" w:firstLine="640" w:firstLineChars="200"/>
        <w:textAlignment w:val="baseline"/>
        <w:outlineLvl w:val="9"/>
        <w:rPr>
          <w:rFonts w:hint="default" w:ascii="Times New Roman" w:hAnsi="Times New Roman" w:eastAsia="仿宋_GB2312" w:cs="Times New Roman"/>
          <w:b/>
          <w:bCs/>
          <w:sz w:val="32"/>
          <w:szCs w:val="32"/>
        </w:rPr>
      </w:pPr>
      <w:r>
        <w:rPr>
          <w:rFonts w:hint="default" w:ascii="Times New Roman" w:hAnsi="Times New Roman" w:eastAsia="楷体" w:cs="Times New Roman"/>
          <w:b w:val="0"/>
          <w:bCs/>
          <w:sz w:val="32"/>
          <w:szCs w:val="32"/>
          <w:lang w:val="en-US" w:eastAsia="zh-CN"/>
        </w:rPr>
        <w:t>f、</w:t>
      </w:r>
      <w:r>
        <w:rPr>
          <w:rFonts w:hint="default" w:ascii="Times New Roman" w:hAnsi="Times New Roman" w:eastAsia="楷体_GB2312" w:cs="Times New Roman"/>
          <w:b w:val="0"/>
          <w:bCs/>
          <w:sz w:val="32"/>
          <w:szCs w:val="32"/>
          <w:lang w:val="en-US" w:eastAsia="zh-CN"/>
        </w:rPr>
        <w:t>全力夯实基础管理工作。</w:t>
      </w:r>
      <w:r>
        <w:rPr>
          <w:rFonts w:hint="default" w:ascii="Times New Roman" w:hAnsi="Times New Roman" w:eastAsia="仿宋_GB2312" w:cs="Times New Roman"/>
          <w:b w:val="0"/>
          <w:bCs/>
          <w:color w:val="000000"/>
          <w:sz w:val="32"/>
          <w:szCs w:val="32"/>
          <w:lang w:val="en-US" w:eastAsia="zh-CN"/>
        </w:rPr>
        <w:t>一是加强实有人口管理。</w:t>
      </w:r>
      <w:r>
        <w:rPr>
          <w:rFonts w:hint="default" w:ascii="Times New Roman" w:hAnsi="Times New Roman" w:eastAsia="仿宋_GB2312" w:cs="Times New Roman"/>
          <w:b w:val="0"/>
          <w:bCs/>
          <w:kern w:val="2"/>
          <w:sz w:val="32"/>
          <w:szCs w:val="32"/>
          <w:lang w:val="en-US" w:eastAsia="zh-CN"/>
        </w:rPr>
        <w:t>二是加强行业场所管理。</w:t>
      </w:r>
      <w:r>
        <w:rPr>
          <w:rFonts w:hint="default" w:ascii="Times New Roman" w:hAnsi="Times New Roman" w:eastAsia="仿宋_GB2312" w:cs="Times New Roman"/>
          <w:b w:val="0"/>
          <w:bCs/>
          <w:sz w:val="32"/>
          <w:szCs w:val="32"/>
          <w:lang w:eastAsia="zh-CN"/>
        </w:rPr>
        <w:t>三是加强</w:t>
      </w:r>
      <w:r>
        <w:rPr>
          <w:rFonts w:hint="default" w:ascii="Times New Roman" w:hAnsi="Times New Roman" w:eastAsia="仿宋_GB2312" w:cs="Times New Roman"/>
          <w:b w:val="0"/>
          <w:bCs/>
          <w:kern w:val="0"/>
          <w:sz w:val="32"/>
          <w:szCs w:val="32"/>
          <w:lang w:eastAsia="zh-CN"/>
        </w:rPr>
        <w:t>无人机排查管控。</w:t>
      </w:r>
      <w:r>
        <w:rPr>
          <w:rFonts w:hint="default" w:ascii="Times New Roman" w:hAnsi="Times New Roman" w:eastAsia="仿宋_GB2312" w:cs="Times New Roman"/>
          <w:b w:val="0"/>
          <w:bCs/>
          <w:kern w:val="2"/>
          <w:sz w:val="32"/>
          <w:szCs w:val="32"/>
          <w:lang w:val="en-US" w:eastAsia="zh-CN"/>
        </w:rPr>
        <w:t>四是加强涉危涉枪涉爆管理。</w:t>
      </w:r>
      <w:r>
        <w:rPr>
          <w:rFonts w:hint="default" w:ascii="Times New Roman" w:hAnsi="Times New Roman" w:eastAsia="仿宋_GB2312" w:cs="Times New Roman"/>
          <w:b w:val="0"/>
          <w:bCs/>
          <w:color w:val="000000"/>
          <w:kern w:val="0"/>
          <w:sz w:val="32"/>
          <w:szCs w:val="32"/>
          <w:lang w:val="en-US" w:eastAsia="zh-CN"/>
        </w:rPr>
        <w:t>人。五是加强</w:t>
      </w:r>
      <w:r>
        <w:rPr>
          <w:rFonts w:hint="default" w:ascii="Times New Roman" w:hAnsi="Times New Roman" w:eastAsia="仿宋_GB2312" w:cs="Times New Roman"/>
          <w:b w:val="0"/>
          <w:bCs/>
          <w:sz w:val="32"/>
          <w:szCs w:val="32"/>
        </w:rPr>
        <w:t>文明养犬管理。</w:t>
      </w:r>
    </w:p>
    <w:p>
      <w:pPr>
        <w:pBdr>
          <w:top w:val="single" w:color="FFFFFF" w:sz="4" w:space="0"/>
          <w:left w:val="single" w:color="FFFFFF" w:sz="4" w:space="0"/>
          <w:bottom w:val="single" w:color="FFFFFF" w:sz="4" w:space="31"/>
          <w:right w:val="single" w:color="FFFFFF" w:sz="4" w:space="23"/>
        </w:pBdr>
        <w:wordWrap/>
        <w:spacing w:beforeAutospacing="0" w:afterAutospacing="0" w:line="580" w:lineRule="exact"/>
        <w:ind w:left="0" w:leftChars="0" w:right="0" w:firstLine="640" w:firstLineChars="200"/>
        <w:textAlignment w:val="baseline"/>
        <w:outlineLvl w:val="9"/>
        <w:rPr>
          <w:rFonts w:hint="default" w:ascii="Times New Roman" w:hAnsi="Times New Roman" w:eastAsia="楷体_GB2312" w:cs="Times New Roman"/>
          <w:b w:val="0"/>
          <w:bCs w:val="0"/>
          <w:sz w:val="32"/>
          <w:szCs w:val="32"/>
        </w:rPr>
      </w:pPr>
      <w:r>
        <w:rPr>
          <w:rFonts w:hint="eastAsia" w:ascii="Times New Roman" w:hAnsi="Times New Roman" w:eastAsia="楷体" w:cs="Times New Roman"/>
          <w:b w:val="0"/>
          <w:bCs/>
          <w:sz w:val="32"/>
          <w:szCs w:val="32"/>
          <w:lang w:val="en-US" w:eastAsia="zh-CN"/>
        </w:rPr>
        <w:t>g、</w:t>
      </w:r>
      <w:r>
        <w:rPr>
          <w:rFonts w:hint="default" w:ascii="Times New Roman" w:hAnsi="Times New Roman" w:eastAsia="楷体_GB2312" w:cs="Times New Roman"/>
          <w:sz w:val="32"/>
          <w:szCs w:val="32"/>
          <w:lang w:val="en-US" w:eastAsia="zh-CN"/>
        </w:rPr>
        <w:t>持续释放便民利民红利</w:t>
      </w:r>
      <w:r>
        <w:rPr>
          <w:rFonts w:hint="default"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b w:val="0"/>
          <w:bCs w:val="0"/>
          <w:kern w:val="2"/>
          <w:sz w:val="32"/>
          <w:szCs w:val="32"/>
          <w:lang w:val="en-US" w:eastAsia="zh-CN"/>
        </w:rPr>
        <w:t>一是</w:t>
      </w:r>
      <w:r>
        <w:rPr>
          <w:rFonts w:hint="default" w:ascii="Times New Roman" w:hAnsi="Times New Roman" w:eastAsia="仿宋_GB2312" w:cs="Times New Roman"/>
          <w:b w:val="0"/>
          <w:bCs w:val="0"/>
          <w:color w:val="000000"/>
          <w:sz w:val="32"/>
          <w:szCs w:val="32"/>
        </w:rPr>
        <w:t>持续推进“一门通办”改革</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科学整合</w:t>
      </w:r>
      <w:r>
        <w:rPr>
          <w:rFonts w:hint="default" w:ascii="Times New Roman" w:hAnsi="Times New Roman" w:eastAsia="仿宋_GB2312" w:cs="Times New Roman"/>
          <w:b w:val="0"/>
          <w:bCs w:val="0"/>
          <w:color w:val="000000"/>
          <w:sz w:val="32"/>
          <w:szCs w:val="32"/>
          <w:shd w:val="clear" w:color="auto" w:fill="FFFFFF"/>
        </w:rPr>
        <w:t>公安</w:t>
      </w:r>
      <w:r>
        <w:rPr>
          <w:rFonts w:hint="default" w:ascii="Times New Roman" w:hAnsi="Times New Roman" w:eastAsia="仿宋_GB2312" w:cs="Times New Roman"/>
          <w:b w:val="0"/>
          <w:bCs w:val="0"/>
          <w:sz w:val="32"/>
          <w:szCs w:val="32"/>
        </w:rPr>
        <w:t>8</w:t>
      </w:r>
      <w:r>
        <w:rPr>
          <w:rFonts w:hint="default" w:ascii="Times New Roman" w:hAnsi="Times New Roman" w:eastAsia="仿宋_GB2312" w:cs="Times New Roman"/>
          <w:b w:val="0"/>
          <w:bCs w:val="0"/>
          <w:color w:val="000000"/>
          <w:sz w:val="32"/>
          <w:szCs w:val="32"/>
          <w:shd w:val="clear" w:color="auto" w:fill="FFFFFF"/>
        </w:rPr>
        <w:t>类83项业务，</w:t>
      </w:r>
      <w:r>
        <w:rPr>
          <w:rFonts w:hint="default" w:ascii="Times New Roman" w:hAnsi="Times New Roman" w:eastAsia="仿宋_GB2312" w:cs="Times New Roman"/>
          <w:b w:val="0"/>
          <w:bCs w:val="0"/>
          <w:sz w:val="32"/>
          <w:szCs w:val="32"/>
          <w:lang w:eastAsia="zh-CN"/>
        </w:rPr>
        <w:t>全年</w:t>
      </w:r>
      <w:r>
        <w:rPr>
          <w:rFonts w:hint="default" w:ascii="Times New Roman" w:hAnsi="Times New Roman" w:eastAsia="仿宋_GB2312" w:cs="Times New Roman"/>
          <w:b w:val="0"/>
          <w:bCs w:val="0"/>
          <w:sz w:val="32"/>
          <w:szCs w:val="32"/>
        </w:rPr>
        <w:t>累计办理网上、现场业务</w:t>
      </w:r>
      <w:r>
        <w:rPr>
          <w:rFonts w:hint="default" w:ascii="Times New Roman" w:hAnsi="Times New Roman" w:eastAsia="仿宋_GB2312" w:cs="Times New Roman"/>
          <w:b w:val="0"/>
          <w:bCs w:val="0"/>
          <w:color w:val="auto"/>
          <w:sz w:val="32"/>
          <w:szCs w:val="32"/>
        </w:rPr>
        <w:t>共计</w:t>
      </w:r>
      <w:r>
        <w:rPr>
          <w:rFonts w:hint="default" w:ascii="Times New Roman" w:hAnsi="Times New Roman" w:eastAsia="仿宋_GB2312" w:cs="Times New Roman"/>
          <w:b w:val="0"/>
          <w:bCs w:val="0"/>
          <w:color w:val="auto"/>
          <w:sz w:val="32"/>
          <w:szCs w:val="32"/>
          <w:lang w:val="en-US" w:eastAsia="zh-CN"/>
        </w:rPr>
        <w:t>65394</w:t>
      </w:r>
      <w:r>
        <w:rPr>
          <w:rFonts w:hint="default" w:ascii="Times New Roman" w:hAnsi="Times New Roman" w:eastAsia="仿宋_GB2312" w:cs="Times New Roman"/>
          <w:b w:val="0"/>
          <w:bCs w:val="0"/>
          <w:color w:val="auto"/>
          <w:sz w:val="32"/>
          <w:szCs w:val="32"/>
        </w:rPr>
        <w:t>件。</w:t>
      </w:r>
      <w:r>
        <w:rPr>
          <w:rFonts w:hint="default" w:ascii="Times New Roman" w:hAnsi="Times New Roman" w:eastAsia="仿宋_GB2312" w:cs="Times New Roman"/>
          <w:b w:val="0"/>
          <w:bCs w:val="0"/>
          <w:color w:val="auto"/>
          <w:sz w:val="32"/>
          <w:szCs w:val="32"/>
          <w:lang w:eastAsia="zh-CN"/>
        </w:rPr>
        <w:t>二是</w:t>
      </w:r>
      <w:r>
        <w:rPr>
          <w:rFonts w:hint="default" w:ascii="Times New Roman" w:hAnsi="Times New Roman" w:eastAsia="仿宋_GB2312" w:cs="Times New Roman"/>
          <w:b w:val="0"/>
          <w:bCs w:val="0"/>
          <w:kern w:val="2"/>
          <w:sz w:val="32"/>
          <w:szCs w:val="32"/>
          <w:lang w:val="en-US" w:eastAsia="zh-CN"/>
        </w:rPr>
        <w:t>优化营商环境，降低企业成本。</w:t>
      </w:r>
      <w:r>
        <w:rPr>
          <w:rFonts w:hint="default" w:ascii="Times New Roman" w:hAnsi="Times New Roman" w:eastAsia="仿宋_GB2312" w:cs="Times New Roman"/>
          <w:b w:val="0"/>
          <w:bCs w:val="0"/>
          <w:color w:val="000000"/>
          <w:sz w:val="32"/>
          <w:szCs w:val="32"/>
        </w:rPr>
        <w:t>推进“3550”系统建设，优化全区营商环境，实现新</w:t>
      </w:r>
      <w:r>
        <w:rPr>
          <w:rFonts w:hint="eastAsia" w:ascii="Times New Roman" w:hAnsi="Times New Roman" w:eastAsia="仿宋_GB2312" w:cs="Times New Roman"/>
          <w:b w:val="0"/>
          <w:bCs w:val="0"/>
          <w:color w:val="000000"/>
          <w:sz w:val="32"/>
          <w:szCs w:val="32"/>
          <w:lang w:eastAsia="zh-CN"/>
        </w:rPr>
        <w:t>办</w:t>
      </w:r>
      <w:r>
        <w:rPr>
          <w:rFonts w:hint="default" w:ascii="Times New Roman" w:hAnsi="Times New Roman" w:eastAsia="仿宋_GB2312" w:cs="Times New Roman"/>
          <w:b w:val="0"/>
          <w:bCs w:val="0"/>
          <w:color w:val="000000"/>
          <w:sz w:val="32"/>
          <w:szCs w:val="32"/>
        </w:rPr>
        <w:t>企业“一网通办、</w:t>
      </w:r>
      <w:r>
        <w:rPr>
          <w:rFonts w:hint="eastAsia" w:ascii="Times New Roman" w:hAnsi="Times New Roman" w:eastAsia="仿宋_GB2312" w:cs="Times New Roman"/>
          <w:b w:val="0"/>
          <w:bCs w:val="0"/>
          <w:color w:val="000000"/>
          <w:sz w:val="32"/>
          <w:szCs w:val="32"/>
          <w:lang w:eastAsia="zh-CN"/>
        </w:rPr>
        <w:t>群众</w:t>
      </w:r>
      <w:r>
        <w:rPr>
          <w:rFonts w:hint="default" w:ascii="Times New Roman" w:hAnsi="Times New Roman" w:eastAsia="仿宋_GB2312" w:cs="Times New Roman"/>
          <w:b w:val="0"/>
          <w:bCs w:val="0"/>
          <w:color w:val="000000"/>
          <w:sz w:val="32"/>
          <w:szCs w:val="32"/>
        </w:rPr>
        <w:t>只跑一次”。</w:t>
      </w:r>
      <w:r>
        <w:rPr>
          <w:rFonts w:hint="eastAsia" w:ascii="Times New Roman" w:hAnsi="Times New Roman" w:eastAsia="仿宋_GB2312" w:cs="Times New Roman"/>
          <w:b w:val="0"/>
          <w:bCs w:val="0"/>
          <w:color w:val="000000"/>
          <w:sz w:val="32"/>
          <w:szCs w:val="32"/>
          <w:lang w:eastAsia="zh-CN"/>
        </w:rPr>
        <w:t>共</w:t>
      </w:r>
      <w:r>
        <w:rPr>
          <w:rFonts w:hint="default" w:ascii="Times New Roman" w:hAnsi="Times New Roman" w:eastAsia="仿宋_GB2312" w:cs="Times New Roman"/>
          <w:b w:val="0"/>
          <w:bCs w:val="0"/>
          <w:color w:val="000000"/>
          <w:sz w:val="32"/>
          <w:szCs w:val="32"/>
          <w:lang w:eastAsia="zh-CN"/>
        </w:rPr>
        <w:t>办理</w:t>
      </w:r>
      <w:r>
        <w:rPr>
          <w:rFonts w:hint="default" w:ascii="Times New Roman" w:hAnsi="Times New Roman" w:eastAsia="仿宋_GB2312" w:cs="Times New Roman"/>
          <w:b w:val="0"/>
          <w:bCs w:val="0"/>
          <w:color w:val="000000"/>
          <w:sz w:val="32"/>
          <w:szCs w:val="32"/>
        </w:rPr>
        <w:t>公章备案</w:t>
      </w:r>
      <w:r>
        <w:rPr>
          <w:rFonts w:hint="default" w:ascii="Times New Roman" w:hAnsi="Times New Roman" w:eastAsia="仿宋_GB2312" w:cs="Times New Roman"/>
          <w:b w:val="0"/>
          <w:bCs w:val="0"/>
          <w:color w:val="000000"/>
          <w:sz w:val="32"/>
          <w:szCs w:val="32"/>
          <w:lang w:val="en-US" w:eastAsia="zh-CN"/>
        </w:rPr>
        <w:t>14370</w:t>
      </w:r>
      <w:r>
        <w:rPr>
          <w:rFonts w:hint="default" w:ascii="Times New Roman" w:hAnsi="Times New Roman" w:eastAsia="仿宋_GB2312" w:cs="Times New Roman"/>
          <w:b w:val="0"/>
          <w:bCs w:val="0"/>
          <w:color w:val="000000"/>
          <w:sz w:val="32"/>
          <w:szCs w:val="32"/>
        </w:rPr>
        <w:t>件</w:t>
      </w:r>
      <w:r>
        <w:rPr>
          <w:rFonts w:hint="default" w:ascii="Times New Roman" w:hAnsi="Times New Roman" w:eastAsia="仿宋_GB2312" w:cs="Times New Roman"/>
          <w:b w:val="0"/>
          <w:bCs w:val="0"/>
          <w:color w:val="000000"/>
          <w:sz w:val="32"/>
          <w:szCs w:val="32"/>
          <w:lang w:val="en-US" w:eastAsia="zh-CN"/>
        </w:rPr>
        <w:t>59123</w:t>
      </w:r>
      <w:r>
        <w:rPr>
          <w:rFonts w:hint="default" w:ascii="Times New Roman" w:hAnsi="Times New Roman" w:eastAsia="仿宋_GB2312" w:cs="Times New Roman"/>
          <w:b w:val="0"/>
          <w:bCs w:val="0"/>
          <w:color w:val="000000"/>
          <w:sz w:val="32"/>
          <w:szCs w:val="32"/>
        </w:rPr>
        <w:t>枚、涉及“3550”企业印章备案</w:t>
      </w:r>
      <w:r>
        <w:rPr>
          <w:rFonts w:hint="default" w:ascii="Times New Roman" w:hAnsi="Times New Roman" w:eastAsia="仿宋_GB2312" w:cs="Times New Roman"/>
          <w:b w:val="0"/>
          <w:bCs w:val="0"/>
          <w:color w:val="000000"/>
          <w:sz w:val="32"/>
          <w:szCs w:val="32"/>
          <w:lang w:val="en-US" w:eastAsia="zh-CN"/>
        </w:rPr>
        <w:t>1887</w:t>
      </w:r>
      <w:r>
        <w:rPr>
          <w:rFonts w:hint="default" w:ascii="Times New Roman" w:hAnsi="Times New Roman" w:eastAsia="仿宋_GB2312" w:cs="Times New Roman"/>
          <w:b w:val="0"/>
          <w:bCs w:val="0"/>
          <w:color w:val="000000"/>
          <w:sz w:val="32"/>
          <w:szCs w:val="32"/>
        </w:rPr>
        <w:t>件</w:t>
      </w:r>
      <w:r>
        <w:rPr>
          <w:rFonts w:hint="default" w:ascii="Times New Roman" w:hAnsi="Times New Roman" w:eastAsia="仿宋_GB2312" w:cs="Times New Roman"/>
          <w:b w:val="0"/>
          <w:bCs w:val="0"/>
          <w:color w:val="000000"/>
          <w:sz w:val="32"/>
          <w:szCs w:val="32"/>
          <w:lang w:val="en-US" w:eastAsia="zh-CN"/>
        </w:rPr>
        <w:t>5661</w:t>
      </w:r>
      <w:r>
        <w:rPr>
          <w:rFonts w:hint="default" w:ascii="Times New Roman" w:hAnsi="Times New Roman" w:eastAsia="仿宋_GB2312" w:cs="Times New Roman"/>
          <w:b w:val="0"/>
          <w:bCs w:val="0"/>
          <w:color w:val="000000"/>
          <w:sz w:val="32"/>
          <w:szCs w:val="32"/>
        </w:rPr>
        <w:t>枚</w:t>
      </w:r>
      <w:r>
        <w:rPr>
          <w:rFonts w:hint="default" w:ascii="Times New Roman" w:hAnsi="Times New Roman" w:eastAsia="仿宋_GB2312" w:cs="Times New Roman"/>
          <w:b w:val="0"/>
          <w:bCs w:val="0"/>
          <w:color w:val="000000"/>
          <w:sz w:val="32"/>
          <w:szCs w:val="32"/>
          <w:lang w:eastAsia="zh-CN"/>
        </w:rPr>
        <w:t>。三是推行便民服务举措。</w:t>
      </w:r>
      <w:r>
        <w:rPr>
          <w:rFonts w:hint="default" w:ascii="Times New Roman" w:hAnsi="Times New Roman" w:eastAsia="仿宋_GB2312" w:cs="Times New Roman"/>
          <w:b w:val="0"/>
          <w:bCs w:val="0"/>
          <w:sz w:val="32"/>
          <w:szCs w:val="32"/>
          <w:lang w:val="en-US" w:eastAsia="zh-CN"/>
        </w:rPr>
        <w:t>设立“公安24小时自助便民服务超市”、推行“五免三合一降一缩短”、开通网上快速审批通道一站办结、创新“刷脸填表”系统，推动实体政务大厅与网上政务平台深度融合。</w:t>
      </w:r>
      <w:r>
        <w:rPr>
          <w:rFonts w:hint="default"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是</w:t>
      </w:r>
      <w:r>
        <w:rPr>
          <w:rFonts w:hint="default" w:ascii="Times New Roman" w:hAnsi="Times New Roman" w:eastAsia="仿宋_GB2312" w:cs="Times New Roman"/>
          <w:b w:val="0"/>
          <w:bCs w:val="0"/>
          <w:sz w:val="32"/>
          <w:szCs w:val="32"/>
          <w:lang w:eastAsia="zh-CN"/>
        </w:rPr>
        <w:t>持续</w:t>
      </w:r>
      <w:r>
        <w:rPr>
          <w:rFonts w:hint="default" w:ascii="Times New Roman" w:hAnsi="Times New Roman" w:eastAsia="仿宋_GB2312" w:cs="Times New Roman"/>
          <w:b w:val="0"/>
          <w:bCs w:val="0"/>
          <w:sz w:val="32"/>
          <w:szCs w:val="32"/>
        </w:rPr>
        <w:t>推动“盗抢”险。积极推动政府出资为居民购买盗抢险工作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kern w:val="2"/>
          <w:sz w:val="32"/>
          <w:szCs w:val="32"/>
          <w:lang w:val="en-US" w:eastAsia="zh-CN"/>
        </w:rPr>
        <w:t>赔付金额403763元，赔付率79.59%</w:t>
      </w:r>
      <w:r>
        <w:rPr>
          <w:rFonts w:hint="default" w:ascii="Times New Roman" w:hAnsi="Times New Roman" w:eastAsia="仿宋_GB2312" w:cs="Times New Roman"/>
          <w:b w:val="0"/>
          <w:bCs w:val="0"/>
          <w:sz w:val="32"/>
          <w:szCs w:val="32"/>
        </w:rPr>
        <w:t>。</w:t>
      </w:r>
    </w:p>
    <w:p>
      <w:pPr>
        <w:pBdr>
          <w:top w:val="single" w:color="FFFFFF" w:sz="4" w:space="0"/>
          <w:left w:val="single" w:color="FFFFFF" w:sz="4" w:space="0"/>
          <w:bottom w:val="single" w:color="FFFFFF" w:sz="4" w:space="31"/>
          <w:right w:val="single" w:color="FFFFFF" w:sz="4" w:space="23"/>
        </w:pBdr>
        <w:wordWrap/>
        <w:spacing w:beforeAutospacing="0" w:afterAutospacing="0" w:line="580" w:lineRule="exact"/>
        <w:ind w:left="0" w:leftChars="0" w:right="0" w:firstLine="640" w:firstLineChars="200"/>
        <w:textAlignment w:val="baseline"/>
        <w:outlineLvl w:val="9"/>
        <w:rPr>
          <w:rFonts w:hint="default" w:ascii="Times New Roman" w:hAnsi="Times New Roman" w:eastAsia="仿宋_GB2312" w:cs="Times New Roman"/>
          <w:color w:val="333333"/>
          <w:kern w:val="2"/>
          <w:sz w:val="32"/>
          <w:szCs w:val="32"/>
          <w:lang w:val="en-US" w:eastAsia="zh-CN" w:bidi="ar-SA"/>
        </w:rPr>
      </w:pPr>
      <w:r>
        <w:rPr>
          <w:rFonts w:hint="eastAsia" w:ascii="Times New Roman" w:hAnsi="Times New Roman" w:eastAsia="楷体" w:cs="Times New Roman"/>
          <w:bCs/>
          <w:sz w:val="32"/>
          <w:szCs w:val="32"/>
          <w:lang w:val="en-US" w:eastAsia="zh-CN"/>
        </w:rPr>
        <w:t>h</w:t>
      </w:r>
      <w:r>
        <w:rPr>
          <w:rFonts w:hint="default" w:ascii="Times New Roman" w:hAnsi="Times New Roman" w:eastAsia="楷体" w:cs="Times New Roman"/>
          <w:bCs/>
          <w:sz w:val="32"/>
          <w:szCs w:val="32"/>
          <w:lang w:val="en-US" w:eastAsia="zh-CN"/>
        </w:rPr>
        <w:t>、</w:t>
      </w:r>
      <w:r>
        <w:rPr>
          <w:rFonts w:hint="default" w:ascii="Times New Roman" w:hAnsi="Times New Roman" w:eastAsia="楷体_GB2312" w:cs="Times New Roman"/>
          <w:b w:val="0"/>
          <w:bCs w:val="0"/>
          <w:sz w:val="32"/>
          <w:szCs w:val="32"/>
          <w:lang w:eastAsia="zh-CN"/>
        </w:rPr>
        <w:t>坚决打好</w:t>
      </w:r>
      <w:r>
        <w:rPr>
          <w:rFonts w:hint="default" w:ascii="Times New Roman" w:hAnsi="Times New Roman" w:eastAsia="楷体_GB2312" w:cs="Times New Roman"/>
          <w:b w:val="0"/>
          <w:bCs w:val="0"/>
          <w:sz w:val="32"/>
          <w:szCs w:val="32"/>
          <w:lang w:val="en-US" w:eastAsia="zh-CN"/>
        </w:rPr>
        <w:t>COP15安保维稳攻坚战</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仿宋_GB2312" w:cs="Times New Roman"/>
          <w:b w:val="0"/>
          <w:bCs w:val="0"/>
          <w:color w:val="333333"/>
          <w:kern w:val="2"/>
          <w:sz w:val="32"/>
          <w:szCs w:val="32"/>
          <w:lang w:val="en-US" w:eastAsia="zh-CN" w:bidi="ar-SA"/>
        </w:rPr>
        <w:t>一是在区委区政府的大力支持下，拨付约4000余万元经费投入全区COP15安保控制性工程建设和治安要素“大起底”等工作，形成党政领导，公安主导，全社会参与的良好工作格局。全区174个“两区一村”全部完成人脸识别及车辆卡口视频监控建设。二是在全区范围开展全要素、全覆盖、全纵深的治安基础要素“大起底”专项工作，三是坚决完成好会场及活动现场安保任务，按照市局安排，分局抽调270名精干警力（场地安保241人，防爆安检17人，蓝区安保6人，前置管控6人），参与市局部署的蓝区执勤、现场安保、防爆安检任务。圆满完成了工作任务</w:t>
      </w:r>
      <w:r>
        <w:rPr>
          <w:rFonts w:hint="default" w:ascii="Times New Roman" w:hAnsi="Times New Roman" w:eastAsia="仿宋_GB2312" w:cs="Times New Roman"/>
          <w:color w:val="333333"/>
          <w:kern w:val="2"/>
          <w:sz w:val="32"/>
          <w:szCs w:val="32"/>
          <w:lang w:val="en-US" w:eastAsia="zh-CN" w:bidi="ar-SA"/>
        </w:rPr>
        <w:t>。</w:t>
      </w:r>
    </w:p>
    <w:p>
      <w:pPr>
        <w:pBdr>
          <w:top w:val="single" w:color="FFFFFF" w:sz="4" w:space="0"/>
          <w:left w:val="single" w:color="FFFFFF" w:sz="4" w:space="0"/>
          <w:bottom w:val="single" w:color="FFFFFF" w:sz="4" w:space="31"/>
          <w:right w:val="single" w:color="FFFFFF" w:sz="4" w:space="23"/>
        </w:pBdr>
        <w:wordWrap/>
        <w:spacing w:beforeAutospacing="0" w:afterAutospacing="0" w:line="580" w:lineRule="exact"/>
        <w:ind w:left="0" w:leftChars="0" w:right="0" w:firstLine="640" w:firstLineChars="200"/>
        <w:textAlignment w:val="baseline"/>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 w:val="0"/>
          <w:bCs/>
          <w:color w:val="auto"/>
          <w:sz w:val="32"/>
          <w:szCs w:val="32"/>
        </w:rPr>
        <w:t>(2)取得的经济效益</w:t>
      </w:r>
    </w:p>
    <w:p>
      <w:pPr>
        <w:pBdr>
          <w:top w:val="single" w:color="FFFFFF" w:sz="4" w:space="0"/>
          <w:left w:val="single" w:color="FFFFFF" w:sz="4" w:space="0"/>
          <w:bottom w:val="single" w:color="FFFFFF" w:sz="4" w:space="31"/>
          <w:right w:val="single" w:color="FFFFFF" w:sz="4" w:space="23"/>
        </w:pBdr>
        <w:wordWrap/>
        <w:spacing w:beforeAutospacing="0" w:afterAutospacing="0" w:line="580" w:lineRule="exact"/>
        <w:ind w:left="0" w:leftChars="0" w:right="0"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据统计，</w:t>
      </w:r>
      <w:r>
        <w:rPr>
          <w:rFonts w:hint="eastAsia" w:ascii="Times New Roman" w:hAnsi="Times New Roman" w:eastAsia="仿宋_GB2312" w:cs="Times New Roman"/>
          <w:color w:val="auto"/>
          <w:sz w:val="32"/>
          <w:szCs w:val="32"/>
          <w:lang w:eastAsia="zh-CN"/>
        </w:rPr>
        <w:t>2021</w:t>
      </w:r>
      <w:r>
        <w:rPr>
          <w:rFonts w:hint="default" w:ascii="Times New Roman" w:hAnsi="Times New Roman" w:eastAsia="仿宋_GB2312" w:cs="Times New Roman"/>
          <w:color w:val="auto"/>
          <w:sz w:val="32"/>
          <w:szCs w:val="32"/>
        </w:rPr>
        <w:t>年昆明市公安局呈贡分局完成各项非税收入征收共计</w:t>
      </w:r>
      <w:r>
        <w:rPr>
          <w:rFonts w:hint="eastAsia" w:ascii="Times New Roman" w:hAnsi="Times New Roman" w:eastAsia="仿宋_GB2312" w:cs="Times New Roman"/>
          <w:color w:val="auto"/>
          <w:sz w:val="32"/>
          <w:szCs w:val="32"/>
          <w:lang w:val="en-US" w:eastAsia="zh-CN"/>
        </w:rPr>
        <w:t>745.18</w:t>
      </w:r>
      <w:r>
        <w:rPr>
          <w:rFonts w:hint="default"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rPr>
        <w:t>元，已全部上缴国库。</w:t>
      </w:r>
    </w:p>
    <w:p>
      <w:pPr>
        <w:pBdr>
          <w:top w:val="single" w:color="FFFFFF" w:sz="4" w:space="0"/>
          <w:left w:val="single" w:color="FFFFFF" w:sz="4" w:space="0"/>
          <w:bottom w:val="single" w:color="FFFFFF" w:sz="4" w:space="31"/>
          <w:right w:val="single" w:color="FFFFFF" w:sz="4" w:space="23"/>
        </w:pBdr>
        <w:wordWrap/>
        <w:spacing w:beforeAutospacing="0" w:afterAutospacing="0" w:line="580" w:lineRule="exact"/>
        <w:ind w:left="0" w:leftChars="0" w:right="0" w:firstLine="640" w:firstLineChars="200"/>
        <w:textAlignment w:val="baseline"/>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color w:val="auto"/>
          <w:sz w:val="32"/>
          <w:szCs w:val="32"/>
          <w:lang w:val="en-US" w:eastAsia="zh-CN"/>
        </w:rPr>
        <w:t>b、</w:t>
      </w:r>
      <w:r>
        <w:rPr>
          <w:rFonts w:hint="eastAsia" w:ascii="Times New Roman" w:hAnsi="Times New Roman" w:eastAsia="仿宋_GB2312" w:cs="Times New Roman"/>
          <w:b w:val="0"/>
          <w:bCs w:val="0"/>
          <w:color w:val="auto"/>
          <w:kern w:val="0"/>
          <w:sz w:val="32"/>
          <w:szCs w:val="32"/>
          <w:lang w:val="en-US" w:eastAsia="zh-CN"/>
        </w:rPr>
        <w:t>2021打击治理电信网络新型违法犯罪方方面，</w:t>
      </w:r>
      <w:r>
        <w:rPr>
          <w:rFonts w:hint="default" w:ascii="Times New Roman" w:hAnsi="Times New Roman" w:eastAsia="仿宋_GB2312" w:cs="Times New Roman"/>
          <w:sz w:val="32"/>
          <w:szCs w:val="32"/>
          <w:lang w:val="en-US" w:eastAsia="zh-CN"/>
        </w:rPr>
        <w:t>共止付冻结涉案账户1120个，冻结涉案资金5653.33万元，</w:t>
      </w:r>
      <w:r>
        <w:rPr>
          <w:rFonts w:hint="default" w:ascii="Times New Roman" w:hAnsi="Times New Roman" w:eastAsia="仿宋_GB2312" w:cs="Times New Roman"/>
          <w:b w:val="0"/>
          <w:bCs w:val="0"/>
          <w:color w:val="auto"/>
          <w:kern w:val="0"/>
          <w:sz w:val="32"/>
          <w:szCs w:val="32"/>
          <w:lang w:val="en-US" w:eastAsia="zh-CN"/>
        </w:rPr>
        <w:t>，有效的挽回了受害群众的财产损失。</w:t>
      </w:r>
    </w:p>
    <w:p>
      <w:pPr>
        <w:numPr>
          <w:ilvl w:val="0"/>
          <w:numId w:val="1"/>
        </w:numPr>
        <w:pBdr>
          <w:top w:val="single" w:color="FFFFFF" w:sz="4" w:space="0"/>
          <w:left w:val="single" w:color="FFFFFF" w:sz="4" w:space="0"/>
          <w:bottom w:val="single" w:color="FFFFFF" w:sz="4" w:space="31"/>
          <w:right w:val="single" w:color="FFFFFF" w:sz="4" w:space="23"/>
        </w:pBdr>
        <w:wordWrap/>
        <w:spacing w:beforeAutospacing="0" w:afterAutospacing="0" w:line="580" w:lineRule="exact"/>
        <w:ind w:left="0" w:leftChars="0" w:right="0" w:firstLine="643" w:firstLineChars="200"/>
        <w:textAlignment w:val="baseline"/>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存在的问题</w:t>
      </w:r>
    </w:p>
    <w:p>
      <w:pPr>
        <w:numPr>
          <w:ilvl w:val="0"/>
          <w:numId w:val="0"/>
        </w:numPr>
        <w:pBdr>
          <w:top w:val="single" w:color="FFFFFF" w:sz="4" w:space="0"/>
          <w:left w:val="single" w:color="FFFFFF" w:sz="4" w:space="0"/>
          <w:bottom w:val="single" w:color="FFFFFF" w:sz="4" w:space="31"/>
          <w:right w:val="single" w:color="FFFFFF" w:sz="4" w:space="23"/>
        </w:pBdr>
        <w:wordWrap/>
        <w:spacing w:beforeAutospacing="0" w:afterAutospacing="0" w:line="580" w:lineRule="exact"/>
        <w:ind w:left="0" w:leftChars="0" w:right="0" w:firstLine="640" w:firstLineChars="200"/>
        <w:textAlignment w:val="baseline"/>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项目资金</w:t>
      </w:r>
      <w:r>
        <w:rPr>
          <w:rFonts w:hint="default" w:ascii="Times New Roman" w:hAnsi="Times New Roman" w:eastAsia="仿宋_GB2312" w:cs="Times New Roman"/>
          <w:color w:val="auto"/>
          <w:sz w:val="32"/>
          <w:szCs w:val="32"/>
          <w:lang w:eastAsia="zh-CN"/>
        </w:rPr>
        <w:t>支出进度慢、绩效目标细化还不够细。</w:t>
      </w:r>
    </w:p>
    <w:p>
      <w:pPr>
        <w:numPr>
          <w:ilvl w:val="0"/>
          <w:numId w:val="1"/>
        </w:numPr>
        <w:pBdr>
          <w:top w:val="single" w:color="FFFFFF" w:sz="4" w:space="0"/>
          <w:left w:val="single" w:color="FFFFFF" w:sz="4" w:space="0"/>
          <w:bottom w:val="single" w:color="FFFFFF" w:sz="4" w:space="31"/>
          <w:right w:val="single" w:color="FFFFFF" w:sz="4" w:space="23"/>
        </w:pBdr>
        <w:wordWrap/>
        <w:spacing w:beforeAutospacing="0" w:afterAutospacing="0" w:line="580" w:lineRule="exact"/>
        <w:ind w:left="0" w:leftChars="0" w:right="0" w:firstLine="643" w:firstLineChars="200"/>
        <w:textAlignment w:val="baseline"/>
        <w:outlineLvl w:val="9"/>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b/>
          <w:color w:val="auto"/>
          <w:kern w:val="0"/>
          <w:sz w:val="32"/>
          <w:szCs w:val="32"/>
        </w:rPr>
        <w:t>有关建议</w:t>
      </w:r>
    </w:p>
    <w:p>
      <w:pPr>
        <w:widowControl w:val="0"/>
        <w:numPr>
          <w:ilvl w:val="0"/>
          <w:numId w:val="2"/>
        </w:numPr>
        <w:pBdr>
          <w:top w:val="single" w:color="FFFFFF" w:sz="4" w:space="0"/>
          <w:left w:val="single" w:color="FFFFFF" w:sz="4" w:space="0"/>
          <w:bottom w:val="single" w:color="FFFFFF" w:sz="4" w:space="31"/>
          <w:right w:val="single" w:color="FFFFFF" w:sz="4" w:space="23"/>
        </w:pBdr>
        <w:wordWrap/>
        <w:adjustRightInd/>
        <w:snapToGrid/>
        <w:spacing w:beforeAutospacing="0" w:afterAutospacing="0"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下步分局将</w:t>
      </w:r>
      <w:r>
        <w:rPr>
          <w:rFonts w:hint="default" w:ascii="Times New Roman" w:hAnsi="Times New Roman" w:eastAsia="仿宋_GB2312" w:cs="Times New Roman"/>
          <w:color w:val="auto"/>
          <w:sz w:val="32"/>
          <w:szCs w:val="32"/>
        </w:rPr>
        <w:t>强化</w:t>
      </w:r>
      <w:r>
        <w:rPr>
          <w:rFonts w:hint="default" w:ascii="Times New Roman" w:hAnsi="Times New Roman" w:eastAsia="仿宋_GB2312" w:cs="Times New Roman"/>
          <w:color w:val="auto"/>
          <w:sz w:val="32"/>
          <w:szCs w:val="32"/>
          <w:lang w:eastAsia="zh-CN"/>
        </w:rPr>
        <w:t>预算管理</w:t>
      </w:r>
      <w:r>
        <w:rPr>
          <w:rFonts w:hint="default" w:ascii="Times New Roman" w:hAnsi="Times New Roman" w:eastAsia="仿宋_GB2312" w:cs="Times New Roman"/>
          <w:color w:val="auto"/>
          <w:sz w:val="32"/>
          <w:szCs w:val="32"/>
        </w:rPr>
        <w:t>，逐步建立以绩效为导向的预算编制模式，从项目</w:t>
      </w:r>
      <w:r>
        <w:rPr>
          <w:rFonts w:hint="eastAsia" w:ascii="Times New Roman" w:hAnsi="Times New Roman" w:eastAsia="仿宋_GB2312" w:cs="Times New Roman"/>
          <w:color w:val="auto"/>
          <w:sz w:val="32"/>
          <w:szCs w:val="32"/>
          <w:lang w:eastAsia="zh-CN"/>
        </w:rPr>
        <w:t>编报</w:t>
      </w:r>
      <w:r>
        <w:rPr>
          <w:rFonts w:hint="default" w:ascii="Times New Roman" w:hAnsi="Times New Roman" w:eastAsia="仿宋_GB2312" w:cs="Times New Roman"/>
          <w:color w:val="auto"/>
          <w:sz w:val="32"/>
          <w:szCs w:val="32"/>
        </w:rPr>
        <w:t>入手</w:t>
      </w:r>
      <w:r>
        <w:rPr>
          <w:rFonts w:hint="eastAsia" w:ascii="Times New Roman" w:hAnsi="Times New Roman" w:eastAsia="仿宋_GB2312" w:cs="Times New Roman"/>
          <w:color w:val="auto"/>
          <w:sz w:val="32"/>
          <w:szCs w:val="32"/>
          <w:lang w:eastAsia="zh-CN"/>
        </w:rPr>
        <w:t>定制</w:t>
      </w:r>
      <w:r>
        <w:rPr>
          <w:rFonts w:hint="default" w:ascii="Times New Roman" w:hAnsi="Times New Roman" w:eastAsia="仿宋_GB2312" w:cs="Times New Roman"/>
          <w:color w:val="auto"/>
          <w:sz w:val="32"/>
          <w:szCs w:val="32"/>
        </w:rPr>
        <w:t>绩效评价</w:t>
      </w:r>
      <w:r>
        <w:rPr>
          <w:rFonts w:hint="eastAsia" w:ascii="Times New Roman" w:hAnsi="Times New Roman" w:eastAsia="仿宋_GB2312" w:cs="Times New Roman"/>
          <w:color w:val="auto"/>
          <w:sz w:val="32"/>
          <w:szCs w:val="32"/>
          <w:lang w:eastAsia="zh-CN"/>
        </w:rPr>
        <w:t>目标</w:t>
      </w:r>
      <w:r>
        <w:rPr>
          <w:rFonts w:hint="default" w:ascii="Times New Roman" w:hAnsi="Times New Roman" w:eastAsia="仿宋_GB2312" w:cs="Times New Roman"/>
          <w:color w:val="auto"/>
          <w:sz w:val="32"/>
          <w:szCs w:val="32"/>
        </w:rPr>
        <w:t>，制定机关统一的绩效考评制度，加强部门协调，确保预算编制进一步细化。</w:t>
      </w:r>
    </w:p>
    <w:p>
      <w:pPr>
        <w:widowControl w:val="0"/>
        <w:numPr>
          <w:ilvl w:val="0"/>
          <w:numId w:val="0"/>
        </w:numPr>
        <w:pBdr>
          <w:top w:val="single" w:color="FFFFFF" w:sz="4" w:space="0"/>
          <w:left w:val="single" w:color="FFFFFF" w:sz="4" w:space="0"/>
          <w:bottom w:val="single" w:color="FFFFFF" w:sz="4" w:space="31"/>
          <w:right w:val="single" w:color="FFFFFF" w:sz="4" w:space="23"/>
        </w:pBdr>
        <w:wordWrap/>
        <w:adjustRightInd/>
        <w:snapToGrid/>
        <w:spacing w:beforeAutospacing="0" w:afterAutospacing="0" w:line="580" w:lineRule="exact"/>
        <w:ind w:left="0" w:leftChars="0" w:right="0" w:firstLine="640" w:firstLineChars="200"/>
        <w:jc w:val="both"/>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提高预算资金使用率，对已完工的项目，根据相关规定，进行竣工结算审计，并根据审计报告及合同约定及时支付项目款，</w:t>
      </w:r>
      <w:r>
        <w:rPr>
          <w:rFonts w:hint="default" w:ascii="Times New Roman" w:hAnsi="Times New Roman" w:eastAsia="仿宋_GB2312" w:cs="Times New Roman"/>
          <w:color w:val="auto"/>
          <w:sz w:val="32"/>
          <w:szCs w:val="32"/>
          <w:lang w:eastAsia="zh-CN"/>
        </w:rPr>
        <w:t>提高</w:t>
      </w:r>
      <w:r>
        <w:rPr>
          <w:rFonts w:hint="default" w:ascii="Times New Roman" w:hAnsi="Times New Roman" w:eastAsia="仿宋_GB2312" w:cs="Times New Roman"/>
          <w:color w:val="auto"/>
          <w:sz w:val="32"/>
          <w:szCs w:val="32"/>
        </w:rPr>
        <w:t>资金使用效率。</w:t>
      </w:r>
    </w:p>
    <w:p>
      <w:pPr>
        <w:numPr>
          <w:ilvl w:val="0"/>
          <w:numId w:val="0"/>
        </w:numPr>
        <w:pBdr>
          <w:top w:val="single" w:color="FFFFFF" w:sz="4" w:space="0"/>
          <w:left w:val="single" w:color="FFFFFF" w:sz="4" w:space="0"/>
          <w:bottom w:val="single" w:color="FFFFFF" w:sz="4" w:space="31"/>
          <w:right w:val="single" w:color="FFFFFF" w:sz="4" w:space="23"/>
        </w:pBdr>
        <w:wordWrap/>
        <w:spacing w:beforeAutospacing="0" w:afterAutospacing="0" w:line="580" w:lineRule="exact"/>
        <w:ind w:left="0" w:leftChars="0" w:right="0"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六、其他需要说明的问题</w:t>
      </w:r>
    </w:p>
    <w:p>
      <w:pPr>
        <w:wordWrap/>
        <w:spacing w:beforeAutospacing="0" w:afterAutospacing="0" w:line="580" w:lineRule="exact"/>
        <w:ind w:left="0" w:leftChars="0" w:right="0"/>
        <w:outlineLvl w:val="9"/>
        <w:rPr>
          <w:rFonts w:hint="default" w:ascii="Times New Roman" w:hAnsi="Times New Roman" w:cs="Times New Roman"/>
          <w:color w:val="auto"/>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C864B"/>
    <w:multiLevelType w:val="singleLevel"/>
    <w:tmpl w:val="1C0C864B"/>
    <w:lvl w:ilvl="0" w:tentative="0">
      <w:start w:val="4"/>
      <w:numFmt w:val="chineseCounting"/>
      <w:suff w:val="nothing"/>
      <w:lvlText w:val="%1、"/>
      <w:lvlJc w:val="left"/>
      <w:rPr>
        <w:rFonts w:hint="eastAsia"/>
      </w:rPr>
    </w:lvl>
  </w:abstractNum>
  <w:abstractNum w:abstractNumId="1">
    <w:nsid w:val="61384DE1"/>
    <w:multiLevelType w:val="singleLevel"/>
    <w:tmpl w:val="61384DE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dhNjUzNDQ1ZjM4YzQzYzFhY2M4YmY2YzdlYTZkMzEifQ=="/>
  </w:docVars>
  <w:rsids>
    <w:rsidRoot w:val="00B265AE"/>
    <w:rsid w:val="00117E09"/>
    <w:rsid w:val="00133FBF"/>
    <w:rsid w:val="00171B52"/>
    <w:rsid w:val="00273FD7"/>
    <w:rsid w:val="00275809"/>
    <w:rsid w:val="002978E2"/>
    <w:rsid w:val="002C76DD"/>
    <w:rsid w:val="003016B4"/>
    <w:rsid w:val="00301B84"/>
    <w:rsid w:val="00380FD4"/>
    <w:rsid w:val="003953C3"/>
    <w:rsid w:val="00475C45"/>
    <w:rsid w:val="00523DD1"/>
    <w:rsid w:val="005C0B79"/>
    <w:rsid w:val="005E0B97"/>
    <w:rsid w:val="005E4330"/>
    <w:rsid w:val="00623300"/>
    <w:rsid w:val="00624743"/>
    <w:rsid w:val="006414B3"/>
    <w:rsid w:val="00725B37"/>
    <w:rsid w:val="00763B73"/>
    <w:rsid w:val="00794028"/>
    <w:rsid w:val="00806400"/>
    <w:rsid w:val="008065E5"/>
    <w:rsid w:val="009D1229"/>
    <w:rsid w:val="00AB7ACB"/>
    <w:rsid w:val="00AE366F"/>
    <w:rsid w:val="00B265AE"/>
    <w:rsid w:val="00B72EFD"/>
    <w:rsid w:val="00B87B72"/>
    <w:rsid w:val="00C0021A"/>
    <w:rsid w:val="00C15062"/>
    <w:rsid w:val="00C266A7"/>
    <w:rsid w:val="00CB7740"/>
    <w:rsid w:val="00D26BEF"/>
    <w:rsid w:val="00D510C2"/>
    <w:rsid w:val="00D536DF"/>
    <w:rsid w:val="00DC6E95"/>
    <w:rsid w:val="00DE0CFA"/>
    <w:rsid w:val="00E12FAF"/>
    <w:rsid w:val="00EB6D95"/>
    <w:rsid w:val="00EF223E"/>
    <w:rsid w:val="00F66EE2"/>
    <w:rsid w:val="00FA7921"/>
    <w:rsid w:val="011A30DE"/>
    <w:rsid w:val="02190403"/>
    <w:rsid w:val="04EE4BBC"/>
    <w:rsid w:val="05FE5350"/>
    <w:rsid w:val="07C81BD2"/>
    <w:rsid w:val="081F4173"/>
    <w:rsid w:val="086E28F9"/>
    <w:rsid w:val="09EC6054"/>
    <w:rsid w:val="0D5C5D7C"/>
    <w:rsid w:val="0DBF259D"/>
    <w:rsid w:val="0DDD30E7"/>
    <w:rsid w:val="0EA67CD2"/>
    <w:rsid w:val="0F1727CE"/>
    <w:rsid w:val="0FB07BDC"/>
    <w:rsid w:val="10B846F8"/>
    <w:rsid w:val="10DC756A"/>
    <w:rsid w:val="11445362"/>
    <w:rsid w:val="11B95320"/>
    <w:rsid w:val="129073C6"/>
    <w:rsid w:val="132754F7"/>
    <w:rsid w:val="14494355"/>
    <w:rsid w:val="14534C64"/>
    <w:rsid w:val="15220356"/>
    <w:rsid w:val="15647283"/>
    <w:rsid w:val="15FF0C34"/>
    <w:rsid w:val="16B1384A"/>
    <w:rsid w:val="17DC7EAB"/>
    <w:rsid w:val="1AC8397F"/>
    <w:rsid w:val="1CA9623E"/>
    <w:rsid w:val="1DAF0698"/>
    <w:rsid w:val="1DB5784A"/>
    <w:rsid w:val="1DC24961"/>
    <w:rsid w:val="1E183D46"/>
    <w:rsid w:val="1EF25260"/>
    <w:rsid w:val="1F47475D"/>
    <w:rsid w:val="20156DFF"/>
    <w:rsid w:val="20C268F1"/>
    <w:rsid w:val="20ED02A3"/>
    <w:rsid w:val="215344A5"/>
    <w:rsid w:val="220B222D"/>
    <w:rsid w:val="22985DCE"/>
    <w:rsid w:val="22AF4424"/>
    <w:rsid w:val="23A00ACD"/>
    <w:rsid w:val="244F5E40"/>
    <w:rsid w:val="25AF6C10"/>
    <w:rsid w:val="28563DBE"/>
    <w:rsid w:val="2900315B"/>
    <w:rsid w:val="2BB37DD8"/>
    <w:rsid w:val="2C54184D"/>
    <w:rsid w:val="2C5B0C17"/>
    <w:rsid w:val="2D3277B7"/>
    <w:rsid w:val="2D684753"/>
    <w:rsid w:val="2DCC08AF"/>
    <w:rsid w:val="2E0E2BE2"/>
    <w:rsid w:val="2E562345"/>
    <w:rsid w:val="2EB5778F"/>
    <w:rsid w:val="30C2634C"/>
    <w:rsid w:val="31BC273E"/>
    <w:rsid w:val="33A5049E"/>
    <w:rsid w:val="33B82EE9"/>
    <w:rsid w:val="34413D46"/>
    <w:rsid w:val="344A7794"/>
    <w:rsid w:val="35033E04"/>
    <w:rsid w:val="36096E4B"/>
    <w:rsid w:val="36192DF1"/>
    <w:rsid w:val="36A43530"/>
    <w:rsid w:val="36D96130"/>
    <w:rsid w:val="376F3EFE"/>
    <w:rsid w:val="37D43CC4"/>
    <w:rsid w:val="386453CE"/>
    <w:rsid w:val="3C14454A"/>
    <w:rsid w:val="3C311621"/>
    <w:rsid w:val="3CA6524F"/>
    <w:rsid w:val="3CDA6EE3"/>
    <w:rsid w:val="3D482D9A"/>
    <w:rsid w:val="3D4D7222"/>
    <w:rsid w:val="3EA55255"/>
    <w:rsid w:val="40674242"/>
    <w:rsid w:val="42B17F95"/>
    <w:rsid w:val="42F332E6"/>
    <w:rsid w:val="42FF510E"/>
    <w:rsid w:val="443A0497"/>
    <w:rsid w:val="44CC236F"/>
    <w:rsid w:val="45CB5EE0"/>
    <w:rsid w:val="46455BE4"/>
    <w:rsid w:val="469A2A2B"/>
    <w:rsid w:val="46E531DB"/>
    <w:rsid w:val="47EF77D2"/>
    <w:rsid w:val="4A1658D0"/>
    <w:rsid w:val="4A2676A9"/>
    <w:rsid w:val="4AA13AE4"/>
    <w:rsid w:val="4B8266EA"/>
    <w:rsid w:val="4C941AAA"/>
    <w:rsid w:val="4DB729B9"/>
    <w:rsid w:val="4DD51BCE"/>
    <w:rsid w:val="4E3653EE"/>
    <w:rsid w:val="4F155A4F"/>
    <w:rsid w:val="50A123C6"/>
    <w:rsid w:val="51997275"/>
    <w:rsid w:val="52742B72"/>
    <w:rsid w:val="53507813"/>
    <w:rsid w:val="53D16F90"/>
    <w:rsid w:val="56047F22"/>
    <w:rsid w:val="56F771F3"/>
    <w:rsid w:val="57C63C28"/>
    <w:rsid w:val="582B48C9"/>
    <w:rsid w:val="582C053E"/>
    <w:rsid w:val="58530075"/>
    <w:rsid w:val="58735636"/>
    <w:rsid w:val="58890C77"/>
    <w:rsid w:val="59656AA7"/>
    <w:rsid w:val="5A451B2A"/>
    <w:rsid w:val="5A677AE0"/>
    <w:rsid w:val="5A8A0F99"/>
    <w:rsid w:val="5B9F4964"/>
    <w:rsid w:val="5BC365AA"/>
    <w:rsid w:val="5C5C461E"/>
    <w:rsid w:val="5E8165EF"/>
    <w:rsid w:val="5EC13B82"/>
    <w:rsid w:val="5F1E649A"/>
    <w:rsid w:val="5FCD2DBA"/>
    <w:rsid w:val="63320ECD"/>
    <w:rsid w:val="633C39DB"/>
    <w:rsid w:val="63822617"/>
    <w:rsid w:val="63CA0418"/>
    <w:rsid w:val="654E2ECC"/>
    <w:rsid w:val="65CA068D"/>
    <w:rsid w:val="696F420B"/>
    <w:rsid w:val="6A4E7208"/>
    <w:rsid w:val="6A8248B9"/>
    <w:rsid w:val="6B3E4F74"/>
    <w:rsid w:val="6B453C6C"/>
    <w:rsid w:val="6B9A1E58"/>
    <w:rsid w:val="6BD93380"/>
    <w:rsid w:val="6C6916DA"/>
    <w:rsid w:val="6CC42F7D"/>
    <w:rsid w:val="6CFF3162"/>
    <w:rsid w:val="6D2C712B"/>
    <w:rsid w:val="6D9975BB"/>
    <w:rsid w:val="6E196C1D"/>
    <w:rsid w:val="6E78663D"/>
    <w:rsid w:val="6E7D340D"/>
    <w:rsid w:val="6EEB77E4"/>
    <w:rsid w:val="70DF0E00"/>
    <w:rsid w:val="71F4417F"/>
    <w:rsid w:val="72210897"/>
    <w:rsid w:val="749B3E5E"/>
    <w:rsid w:val="75650635"/>
    <w:rsid w:val="779D1ECC"/>
    <w:rsid w:val="78F45D01"/>
    <w:rsid w:val="799E7093"/>
    <w:rsid w:val="79A60E63"/>
    <w:rsid w:val="7A391F20"/>
    <w:rsid w:val="7A71383A"/>
    <w:rsid w:val="7C022755"/>
    <w:rsid w:val="7D583216"/>
    <w:rsid w:val="7E556D36"/>
    <w:rsid w:val="7E76388E"/>
    <w:rsid w:val="7E800EC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eastAsia="仿宋_GB2312" w:cs="Times New Roman"/>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unhideWhenUsed/>
    <w:qFormat/>
    <w:uiPriority w:val="0"/>
    <w:rPr>
      <w:rFonts w:cs="Times New Roman"/>
    </w:rPr>
  </w:style>
  <w:style w:type="character" w:customStyle="1" w:styleId="8">
    <w:name w:val="Header Char"/>
    <w:basedOn w:val="6"/>
    <w:link w:val="3"/>
    <w:semiHidden/>
    <w:qFormat/>
    <w:locked/>
    <w:uiPriority w:val="99"/>
    <w:rPr>
      <w:rFonts w:ascii="Calibri" w:hAnsi="Calibri" w:cs="Times New Roman"/>
      <w:sz w:val="18"/>
      <w:szCs w:val="18"/>
    </w:rPr>
  </w:style>
  <w:style w:type="character" w:customStyle="1" w:styleId="9">
    <w:name w:val="style31"/>
    <w:basedOn w:val="6"/>
    <w:qFormat/>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6323</Words>
  <Characters>6728</Characters>
  <Lines>0</Lines>
  <Paragraphs>0</Paragraphs>
  <TotalTime>5</TotalTime>
  <ScaleCrop>false</ScaleCrop>
  <LinksUpToDate>false</LinksUpToDate>
  <CharactersWithSpaces>6758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Wu</cp:lastModifiedBy>
  <dcterms:modified xsi:type="dcterms:W3CDTF">2023-08-15T08:38:52Z</dcterms:modified>
  <dc:title>2017年度昆明市公安局呈贡分局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69CE950BC73447E087B7E5CDFA66BAB6</vt:lpwstr>
  </property>
</Properties>
</file>