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both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center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评审程序及办法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480" w:firstLineChars="20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color w:val="auto"/>
          <w:sz w:val="24"/>
          <w:szCs w:val="24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auto"/>
          <w:sz w:val="24"/>
          <w:szCs w:val="24"/>
          <w:lang w:val="en-US" w:eastAsia="zh-CN" w:bidi="ar-SA"/>
        </w:rPr>
        <w:t>一、总则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48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  <w:t>根据《中华人民共和国政府采购法》《中华人民共和国政府采购法实施条例》《政府采购货物和服务招标投标管理办法》（财政部令第87号）等有关法律、法规和规章的规定，制定本办法。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firstLine="480" w:firstLineChars="20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color w:val="auto"/>
          <w:sz w:val="24"/>
          <w:szCs w:val="24"/>
          <w:lang w:val="en-US" w:eastAsia="zh-CN" w:bidi="ar-SA"/>
        </w:rPr>
      </w:pPr>
      <w:bookmarkStart w:id="0" w:name="_Toc19995"/>
      <w:bookmarkStart w:id="1" w:name="_Toc24134"/>
      <w:bookmarkStart w:id="2" w:name="_Toc7905"/>
      <w:bookmarkStart w:id="3" w:name="_Toc5787"/>
      <w:r>
        <w:rPr>
          <w:rFonts w:hint="eastAsia" w:ascii="方正楷体_GBK" w:hAnsi="方正楷体_GBK" w:eastAsia="方正楷体_GBK" w:cs="方正楷体_GBK"/>
          <w:color w:val="auto"/>
          <w:sz w:val="24"/>
          <w:szCs w:val="24"/>
          <w:lang w:val="en-US" w:eastAsia="zh-CN" w:bidi="ar-SA"/>
        </w:rPr>
        <w:t>二、评审原则</w:t>
      </w:r>
      <w:bookmarkEnd w:id="0"/>
      <w:bookmarkEnd w:id="1"/>
      <w:bookmarkEnd w:id="2"/>
      <w:bookmarkEnd w:id="3"/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48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  <w:t>坚持公平、公正、科学、择优的原则，本着实事求是的精神，不带有任何主观意愿和偏见，认真负责地做好评审工作，公平、公正地对待每一个供应商，全面分析，综合评审。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48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  <w:t>评审只对供应商的响应文件进行评审，响应文件以外的资料、信息不应作为评审的依据。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firstLine="480" w:firstLineChars="20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color w:val="auto"/>
          <w:sz w:val="24"/>
          <w:szCs w:val="24"/>
          <w:lang w:val="en-US" w:eastAsia="zh-CN" w:bidi="ar-SA"/>
        </w:rPr>
      </w:pPr>
      <w:bookmarkStart w:id="4" w:name="_Toc11916"/>
      <w:bookmarkStart w:id="5" w:name="_Toc29093"/>
      <w:bookmarkStart w:id="6" w:name="_Toc1443"/>
      <w:bookmarkStart w:id="7" w:name="_Toc8665"/>
      <w:r>
        <w:rPr>
          <w:rFonts w:hint="eastAsia" w:ascii="方正楷体_GBK" w:hAnsi="方正楷体_GBK" w:eastAsia="方正楷体_GBK" w:cs="方正楷体_GBK"/>
          <w:color w:val="auto"/>
          <w:sz w:val="24"/>
          <w:szCs w:val="24"/>
          <w:lang w:val="en-US" w:eastAsia="zh-CN" w:bidi="ar-SA"/>
        </w:rPr>
        <w:t>三、综合评分</w:t>
      </w:r>
      <w:bookmarkEnd w:id="4"/>
      <w:bookmarkEnd w:id="5"/>
      <w:bookmarkEnd w:id="6"/>
      <w:bookmarkEnd w:id="7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560" w:lineRule="exact"/>
        <w:ind w:firstLine="48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  <w:t>对资格审查评审合格的响应文件按以下方法进行综合评分。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48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1"/>
          <w:sz w:val="24"/>
          <w:szCs w:val="24"/>
          <w:highlight w:val="none"/>
          <w:lang w:val="en-US" w:eastAsia="zh-CN" w:bidi="ar-SA"/>
        </w:rPr>
        <w:t>评审小组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 w:bidi="ar-SA"/>
        </w:rPr>
        <w:t>按以下公式计算出各供应商的总得分，推荐中标候选人按评审总得分由高到低顺序排列；评审总得分相同的，按响应报价由低到高顺序排列；评审总得分且响应报价相同的，按技术部分得分高低排列，依次类推。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24"/>
          <w:szCs w:val="24"/>
          <w:lang w:val="en-US" w:eastAsia="zh-CN" w:bidi="ar-SA"/>
        </w:rPr>
        <w:t>四、资格审查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48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1.呈贡区城市更新改造局关于KCC2023-7号地块具体建设项目供地勘测定界（二勘）第三方技术服务单位比选文件提交文件截止日期，</w:t>
      </w:r>
      <w:r>
        <w:rPr>
          <w:rFonts w:hint="eastAsia" w:ascii="方正仿宋_GBK" w:hAnsi="方正仿宋_GBK" w:eastAsia="方正仿宋_GBK" w:cs="方正仿宋_GBK"/>
          <w:color w:val="auto"/>
          <w:kern w:val="1"/>
          <w:sz w:val="24"/>
          <w:szCs w:val="24"/>
          <w:highlight w:val="none"/>
          <w:lang w:val="en-US" w:eastAsia="zh-CN" w:bidi="ar-SA"/>
        </w:rPr>
        <w:t>评审小组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对供应商的资格进行审查。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2.资格审查标准：依据法律法规和购买服务计划的规定，对响应文件中的资格条件以及证明文件等进行审查，以确定供应商是否具备响应资格；见“附件：2.资格审查表”。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48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3.资格审查程序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48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1"/>
          <w:sz w:val="24"/>
          <w:szCs w:val="24"/>
          <w:highlight w:val="none"/>
          <w:lang w:val="en-US" w:eastAsia="zh-CN" w:bidi="ar-SA"/>
        </w:rPr>
        <w:t>评审小组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依据本章资格评审标准规定的标准对响应文件进行资格审查。有一项不符合审查标准的，响应无效。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482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  <w:lang w:val="en-US" w:eastAsia="zh-CN"/>
        </w:rPr>
        <w:t>注：合格供应商不足3家的，不再进入评审程序，作流标处理。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480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24"/>
          <w:szCs w:val="24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  <w:lang w:val="en-US" w:eastAsia="zh-CN"/>
        </w:rPr>
        <w:t>五、评分办法（综合评分法）</w:t>
      </w:r>
    </w:p>
    <w:tbl>
      <w:tblPr>
        <w:tblStyle w:val="8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913"/>
        <w:gridCol w:w="1588"/>
        <w:gridCol w:w="825"/>
        <w:gridCol w:w="44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464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6" w:type="pct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综合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/>
              </w:rPr>
              <w:t>评分</w:t>
            </w:r>
            <w:bookmarkStart w:id="10" w:name="_GoBack"/>
            <w:bookmarkEnd w:id="10"/>
          </w:p>
        </w:tc>
        <w:tc>
          <w:tcPr>
            <w:tcW w:w="3999" w:type="pct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方正仿宋_GB2312" w:hAnsi="方正仿宋_GB2312" w:eastAsia="方正仿宋_GB2312" w:cs="方正仿宋_GB2312"/>
                <w:b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 w:bidi="ar-SA"/>
              </w:rPr>
              <w:t>评审小组对所有申请文件进行资格评审、响应性评审，对通过资格审查及响应性评审的申请文件的技术、商务部分分别打分后，最后由评审小组按综合得分由高到低的顺序推荐1-3名中标候选人。满分100分（其中技术部分满分80分，商务部分满分20分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46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536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399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kern w:val="2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atLeast"/>
          <w:jc w:val="center"/>
        </w:trPr>
        <w:tc>
          <w:tcPr>
            <w:tcW w:w="464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6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技术部分评审</w:t>
            </w:r>
          </w:p>
        </w:tc>
        <w:tc>
          <w:tcPr>
            <w:tcW w:w="932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技术服务工作方案</w:t>
            </w:r>
          </w:p>
        </w:tc>
        <w:tc>
          <w:tcPr>
            <w:tcW w:w="48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30分</w:t>
            </w:r>
          </w:p>
        </w:tc>
        <w:tc>
          <w:tcPr>
            <w:tcW w:w="2583" w:type="pct"/>
            <w:vAlign w:val="center"/>
          </w:tcPr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（1）技术服务工作方案完善，工作程序清晰，安排科学，保证措施有力，有具体的服务承诺的得20～30分；</w:t>
            </w:r>
          </w:p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（2）技术服务工作方案基本完善，工作程序清晰，安排合理，保证措施合理，有服务承诺但不具体的得10～19分；</w:t>
            </w:r>
          </w:p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（3）技术服务工作方案完善性不足，工作程序基本清晰，安排基本合理，保证措施基本合理，无服务承诺的得1～9分；</w:t>
            </w:r>
          </w:p>
          <w:p>
            <w:pPr>
              <w:spacing w:line="360" w:lineRule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（4）未作任何说明的不得分。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atLeast"/>
          <w:jc w:val="center"/>
        </w:trPr>
        <w:tc>
          <w:tcPr>
            <w:tcW w:w="46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536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932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bookmarkStart w:id="8" w:name="_Hlk107329442"/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工作周期承诺及保证措施</w:t>
            </w:r>
            <w:bookmarkEnd w:id="8"/>
          </w:p>
        </w:tc>
        <w:tc>
          <w:tcPr>
            <w:tcW w:w="48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15分</w:t>
            </w:r>
          </w:p>
        </w:tc>
        <w:tc>
          <w:tcPr>
            <w:tcW w:w="2583" w:type="pct"/>
            <w:vAlign w:val="center"/>
          </w:tcPr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（1）服务周期计划及保障措施详细、明确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/>
              </w:rPr>
              <w:t>并承诺具体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工作完成时限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对遇到问题的响应及解决时限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/>
              </w:rPr>
              <w:t>以及超期后的具体的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违约责任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的得满分10～15分；</w:t>
            </w:r>
          </w:p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（2）服务周期计划及保障措施详细、明确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/>
              </w:rPr>
              <w:t>并承诺具体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工作完成时限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对遇到问题的响应及解决时限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/>
              </w:rPr>
              <w:t>，但无超期后的具体的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违约责任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  <w:lang w:val="en-US" w:eastAsia="zh-CN"/>
              </w:rPr>
              <w:t>承诺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的得5～9分；</w:t>
            </w:r>
          </w:p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（3）服务周期计划及保障措施详细、明确，但无对遇到问题的响应及解决时限的承诺，无期限违约责任承诺的得1～4分。</w:t>
            </w:r>
          </w:p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4"/>
                <w:szCs w:val="24"/>
              </w:rPr>
              <w:t>（4）未作任何说明的不得分。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6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536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932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bookmarkStart w:id="9" w:name="_Hlk98177804"/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质量承诺及保证措施</w:t>
            </w:r>
            <w:bookmarkEnd w:id="9"/>
          </w:p>
        </w:tc>
        <w:tc>
          <w:tcPr>
            <w:tcW w:w="48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10分</w:t>
            </w:r>
          </w:p>
        </w:tc>
        <w:tc>
          <w:tcPr>
            <w:tcW w:w="2583" w:type="pct"/>
            <w:vAlign w:val="center"/>
          </w:tcPr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（1）服务质量承诺全面、合理、贴合实际，质量保证措施阐述具有较强针对性的得7～10分；</w:t>
            </w:r>
          </w:p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（2）有质量承诺或对质量保证措施有阐述，但质量保证措施阐述针对性一般的得3～6分；</w:t>
            </w:r>
          </w:p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（3）质量保证措施阐述缺乏针对性的得1～2分；</w:t>
            </w:r>
          </w:p>
          <w:p>
            <w:pPr>
              <w:spacing w:line="360" w:lineRule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（4）未作任何说明的不得分。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46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536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932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项目管理机构人员配置</w:t>
            </w:r>
          </w:p>
        </w:tc>
        <w:tc>
          <w:tcPr>
            <w:tcW w:w="48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15分</w:t>
            </w:r>
          </w:p>
        </w:tc>
        <w:tc>
          <w:tcPr>
            <w:tcW w:w="2583" w:type="pct"/>
            <w:vAlign w:val="center"/>
          </w:tcPr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（1）项目管理人员针对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实际配置合理，完全满足服务需要，专业配置清晰合理且针对性较好的得10～15分；</w:t>
            </w:r>
          </w:p>
          <w:p>
            <w:pPr>
              <w:spacing w:line="360" w:lineRule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（2）项目管理人员针对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实际配置基本合理，能满足服务需要，专业配置清晰合理，针对性一般的得5～9分；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（3）项目管理人员针对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实际配置不合理，专业配置缺乏针对性的得1～4分；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（4）未作任何说明的不得分。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46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536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</w:p>
        </w:tc>
        <w:tc>
          <w:tcPr>
            <w:tcW w:w="932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类似业绩</w:t>
            </w:r>
          </w:p>
        </w:tc>
        <w:tc>
          <w:tcPr>
            <w:tcW w:w="48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10分</w:t>
            </w:r>
          </w:p>
        </w:tc>
        <w:tc>
          <w:tcPr>
            <w:tcW w:w="2583" w:type="pct"/>
            <w:vAlign w:val="center"/>
          </w:tcPr>
          <w:p>
            <w:pPr>
              <w:spacing w:line="440" w:lineRule="exac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申请人（20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年1月1日～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/>
              </w:rPr>
              <w:t>2023年7月31日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）每承接过1个勘测定界编制业绩的得2分，分数加满为止（业绩证明材料为中标通知书或合同材料或业主证明）。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46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商务</w:t>
            </w:r>
          </w:p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部分</w:t>
            </w:r>
          </w:p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评审</w:t>
            </w:r>
          </w:p>
        </w:tc>
        <w:tc>
          <w:tcPr>
            <w:tcW w:w="932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竞标报价</w:t>
            </w:r>
          </w:p>
        </w:tc>
        <w:tc>
          <w:tcPr>
            <w:tcW w:w="48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</w:rPr>
              <w:t>20分</w:t>
            </w:r>
          </w:p>
        </w:tc>
        <w:tc>
          <w:tcPr>
            <w:tcW w:w="2583" w:type="pct"/>
            <w:vAlign w:val="center"/>
          </w:tcPr>
          <w:p>
            <w:pPr>
              <w:spacing w:line="360" w:lineRule="auto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将报价由低到高排序后依位次评分，报价最低的得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20分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  <w:t>其余按报价由低到高排列，依次得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18、16、14分。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B5F7C7E-317E-46A3-9C96-807AD33B13D6}"/>
  </w:font>
  <w:font w:name="Akzidenz Grotesk BQ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F8A2300-26FD-44DE-8871-358379086EC6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5E4CDCB-7E44-40C5-A339-256031D40F6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0917EBA-3B01-4524-83A3-E99D0654CCC1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yNGJlNTQ0MGE1NjY0ZjJlOTNjNDEzYTNiMzIwMWUifQ=="/>
  </w:docVars>
  <w:rsids>
    <w:rsidRoot w:val="783D3A40"/>
    <w:rsid w:val="16190F5C"/>
    <w:rsid w:val="1D274406"/>
    <w:rsid w:val="1EAE5450"/>
    <w:rsid w:val="1FEF5FE7"/>
    <w:rsid w:val="20FA7743"/>
    <w:rsid w:val="3B271D99"/>
    <w:rsid w:val="3D2070B3"/>
    <w:rsid w:val="3F79343E"/>
    <w:rsid w:val="4AA524BB"/>
    <w:rsid w:val="4BD86F06"/>
    <w:rsid w:val="4FBFACE0"/>
    <w:rsid w:val="54DC4A81"/>
    <w:rsid w:val="57F70FA3"/>
    <w:rsid w:val="5D77A56A"/>
    <w:rsid w:val="5F244123"/>
    <w:rsid w:val="682639C9"/>
    <w:rsid w:val="69E93D76"/>
    <w:rsid w:val="6C6F2A7F"/>
    <w:rsid w:val="77FFFB48"/>
    <w:rsid w:val="783D3A40"/>
    <w:rsid w:val="797B0C6B"/>
    <w:rsid w:val="7AFF2CE3"/>
    <w:rsid w:val="7EFF1873"/>
    <w:rsid w:val="7FB21020"/>
    <w:rsid w:val="B5BEA23F"/>
    <w:rsid w:val="BE5B594D"/>
    <w:rsid w:val="F9F37D6F"/>
    <w:rsid w:val="FBF1E2C4"/>
    <w:rsid w:val="FCF6FBE1"/>
    <w:rsid w:val="FD6FE1E4"/>
    <w:rsid w:val="FFB8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spacing w:after="120" w:afterLines="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 w:eastAsia="zh-CN"/>
    </w:rPr>
  </w:style>
  <w:style w:type="paragraph" w:styleId="5">
    <w:name w:val="Body Text Indent"/>
    <w:basedOn w:val="1"/>
    <w:unhideWhenUsed/>
    <w:qFormat/>
    <w:uiPriority w:val="99"/>
    <w:pPr>
      <w:spacing w:line="460" w:lineRule="exact"/>
      <w:ind w:firstLine="510"/>
    </w:pPr>
    <w:rPr>
      <w:rFonts w:ascii="Calibri" w:hAnsi="Calibri"/>
      <w:sz w:val="20"/>
    </w:rPr>
  </w:style>
  <w:style w:type="paragraph" w:styleId="6">
    <w:name w:val="Plain Text"/>
    <w:basedOn w:val="1"/>
    <w:next w:val="1"/>
    <w:unhideWhenUsed/>
    <w:qFormat/>
    <w:uiPriority w:val="0"/>
    <w:pPr>
      <w:widowControl w:val="0"/>
      <w:jc w:val="both"/>
    </w:pPr>
    <w:rPr>
      <w:rFonts w:ascii="宋体"/>
      <w:kern w:val="2"/>
      <w:szCs w:val="20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10">
    <w:name w:val="BodyText"/>
    <w:basedOn w:val="1"/>
    <w:qFormat/>
    <w:uiPriority w:val="0"/>
    <w:pPr>
      <w:spacing w:after="120"/>
      <w:textAlignment w:val="baseline"/>
    </w:pPr>
  </w:style>
  <w:style w:type="paragraph" w:customStyle="1" w:styleId="11">
    <w:name w:val="列出段落1"/>
    <w:basedOn w:val="1"/>
    <w:qFormat/>
    <w:uiPriority w:val="0"/>
    <w:pPr>
      <w:spacing w:before="117"/>
      <w:ind w:left="143"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1550</Words>
  <Characters>1596</Characters>
  <Lines>0</Lines>
  <Paragraphs>0</Paragraphs>
  <TotalTime>3</TotalTime>
  <ScaleCrop>false</ScaleCrop>
  <LinksUpToDate>false</LinksUpToDate>
  <CharactersWithSpaces>1596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2023-07-19T08:42:00Z</dcterms:created>
  <dc:creator>江家杰</dc:creator>
  <cp:lastModifiedBy>She said...</cp:lastModifiedBy>
  <dcterms:modified xsi:type="dcterms:W3CDTF">2023-08-08T10:42:01Z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B952410B88CC4621893DB6E4F3EE415B</vt:lpwstr>
  </property>
</Properties>
</file>