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851"/>
        </w:tabs>
        <w:autoSpaceDE w:val="0"/>
        <w:autoSpaceDN w:val="0"/>
        <w:adjustRightInd w:val="0"/>
        <w:snapToGrid w:val="0"/>
        <w:spacing w:line="60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购买呈贡区</w:t>
      </w:r>
      <w:r>
        <w:rPr>
          <w:rFonts w:hint="eastAsia" w:eastAsia="方正小标宋简体"/>
          <w:sz w:val="44"/>
          <w:szCs w:val="44"/>
        </w:rPr>
        <w:t>干部信息管理决策支持系统拓展升级开发项目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技术、商务及价格评分标准</w:t>
      </w:r>
    </w:p>
    <w:p>
      <w:pPr>
        <w:tabs>
          <w:tab w:val="left" w:pos="851"/>
        </w:tabs>
        <w:autoSpaceDE w:val="0"/>
        <w:autoSpaceDN w:val="0"/>
        <w:adjustRightInd w:val="0"/>
        <w:snapToGrid w:val="0"/>
        <w:spacing w:line="360" w:lineRule="auto"/>
        <w:rPr>
          <w:rFonts w:ascii="宋体" w:hAnsi="宋体" w:cs="Arial"/>
          <w:sz w:val="24"/>
        </w:rPr>
      </w:pPr>
    </w:p>
    <w:p>
      <w:pPr>
        <w:tabs>
          <w:tab w:val="left" w:pos="851"/>
        </w:tabs>
        <w:autoSpaceDE w:val="0"/>
        <w:autoSpaceDN w:val="0"/>
        <w:adjustRightInd w:val="0"/>
        <w:snapToGrid w:val="0"/>
        <w:spacing w:line="360" w:lineRule="auto"/>
        <w:rPr>
          <w:rFonts w:ascii="宋体" w:hAnsi="宋体" w:cs="Arial"/>
          <w:sz w:val="24"/>
        </w:rPr>
      </w:pPr>
      <w:r>
        <w:rPr>
          <w:rFonts w:hint="eastAsia" w:ascii="宋体" w:hAnsi="宋体" w:cs="Arial"/>
          <w:sz w:val="24"/>
        </w:rPr>
        <w:t>一、</w:t>
      </w:r>
      <w:r>
        <w:rPr>
          <w:rFonts w:ascii="宋体" w:hAnsi="宋体" w:cs="Arial"/>
          <w:sz w:val="24"/>
        </w:rPr>
        <w:t>评分总值最高为100分，评分分值（权重）分配如下：</w:t>
      </w:r>
    </w:p>
    <w:tbl>
      <w:tblPr>
        <w:tblStyle w:val="6"/>
        <w:tblW w:w="9506" w:type="dxa"/>
        <w:tblInd w:w="0" w:type="dxa"/>
        <w:tblBorders>
          <w:top w:val="outset" w:color="111111" w:sz="6" w:space="0"/>
          <w:left w:val="outset" w:color="111111" w:sz="6" w:space="0"/>
          <w:bottom w:val="outset" w:color="111111" w:sz="6" w:space="0"/>
          <w:right w:val="outset" w:color="111111" w:sz="6" w:space="0"/>
          <w:insideH w:val="none" w:color="auto" w:sz="0" w:space="0"/>
          <w:insideV w:val="none" w:color="auto" w:sz="0" w:space="0"/>
        </w:tblBorders>
        <w:tblLayout w:type="fixed"/>
        <w:tblCellMar>
          <w:top w:w="150" w:type="dxa"/>
          <w:left w:w="150" w:type="dxa"/>
          <w:bottom w:w="150" w:type="dxa"/>
          <w:right w:w="150" w:type="dxa"/>
        </w:tblCellMar>
      </w:tblPr>
      <w:tblGrid>
        <w:gridCol w:w="2418"/>
        <w:gridCol w:w="4678"/>
        <w:gridCol w:w="2410"/>
      </w:tblGrid>
      <w:tr>
        <w:tblPrEx>
          <w:tblBorders>
            <w:top w:val="outset" w:color="111111" w:sz="6" w:space="0"/>
            <w:left w:val="outset" w:color="111111" w:sz="6" w:space="0"/>
            <w:bottom w:val="outset" w:color="111111" w:sz="6" w:space="0"/>
            <w:right w:val="outset" w:color="111111" w:sz="6" w:space="0"/>
            <w:insideH w:val="none" w:color="auto" w:sz="0" w:space="0"/>
            <w:insideV w:val="none" w:color="auto" w:sz="0" w:space="0"/>
          </w:tblBorders>
          <w:tblCellMar>
            <w:top w:w="150" w:type="dxa"/>
            <w:left w:w="150" w:type="dxa"/>
            <w:bottom w:w="150" w:type="dxa"/>
            <w:right w:w="150" w:type="dxa"/>
          </w:tblCellMar>
        </w:tblPrEx>
        <w:tc>
          <w:tcPr>
            <w:tcW w:w="2418" w:type="dxa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cs="Arial"/>
              </w:rPr>
              <w:t>评分项目</w:t>
            </w:r>
          </w:p>
        </w:tc>
        <w:tc>
          <w:tcPr>
            <w:tcW w:w="4678" w:type="dxa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hint="eastAsia" w:ascii="Arial" w:cs="Arial"/>
              </w:rPr>
              <w:t>商务、</w:t>
            </w:r>
            <w:r>
              <w:rPr>
                <w:rFonts w:ascii="Arial" w:cs="Arial"/>
              </w:rPr>
              <w:t>技术部分权重</w:t>
            </w:r>
          </w:p>
        </w:tc>
        <w:tc>
          <w:tcPr>
            <w:tcW w:w="2410" w:type="dxa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cs="Arial"/>
              </w:rPr>
              <w:t>价格部分权重</w:t>
            </w:r>
          </w:p>
        </w:tc>
      </w:tr>
      <w:tr>
        <w:tblPrEx>
          <w:tblBorders>
            <w:top w:val="outset" w:color="111111" w:sz="6" w:space="0"/>
            <w:left w:val="outset" w:color="111111" w:sz="6" w:space="0"/>
            <w:bottom w:val="outset" w:color="111111" w:sz="6" w:space="0"/>
            <w:right w:val="outset" w:color="111111" w:sz="6" w:space="0"/>
            <w:insideH w:val="none" w:color="auto" w:sz="0" w:space="0"/>
            <w:insideV w:val="none" w:color="auto" w:sz="0" w:space="0"/>
          </w:tblBorders>
          <w:tblCellMar>
            <w:top w:w="150" w:type="dxa"/>
            <w:left w:w="150" w:type="dxa"/>
            <w:bottom w:w="150" w:type="dxa"/>
            <w:right w:w="150" w:type="dxa"/>
          </w:tblCellMar>
        </w:tblPrEx>
        <w:tc>
          <w:tcPr>
            <w:tcW w:w="2418" w:type="dxa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hint="eastAsia" w:ascii="Arial" w:cs="Arial"/>
              </w:rPr>
              <w:t>分值</w:t>
            </w:r>
          </w:p>
        </w:tc>
        <w:tc>
          <w:tcPr>
            <w:tcW w:w="4678" w:type="dxa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hint="eastAsia" w:ascii="Arial" w:hAnsi="Arial" w:cs="Arial"/>
              </w:rPr>
              <w:t>80</w:t>
            </w:r>
          </w:p>
        </w:tc>
        <w:tc>
          <w:tcPr>
            <w:tcW w:w="2410" w:type="dxa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hint="eastAsia" w:ascii="Arial" w:hAnsi="Arial" w:cs="Arial"/>
              </w:rPr>
              <w:t>20</w:t>
            </w:r>
          </w:p>
        </w:tc>
      </w:tr>
    </w:tbl>
    <w:p>
      <w:pPr>
        <w:tabs>
          <w:tab w:val="left" w:pos="851"/>
        </w:tabs>
        <w:autoSpaceDE w:val="0"/>
        <w:autoSpaceDN w:val="0"/>
        <w:adjustRightInd w:val="0"/>
        <w:snapToGrid w:val="0"/>
        <w:spacing w:before="312" w:beforeLines="100" w:line="360" w:lineRule="auto"/>
        <w:rPr>
          <w:rFonts w:ascii="宋体" w:hAnsi="宋体" w:cs="Arial"/>
          <w:sz w:val="24"/>
        </w:rPr>
      </w:pPr>
      <w:r>
        <w:rPr>
          <w:rFonts w:hint="eastAsia" w:ascii="宋体" w:hAnsi="宋体" w:cs="Arial"/>
          <w:sz w:val="24"/>
        </w:rPr>
        <w:t>二、</w:t>
      </w:r>
      <w:r>
        <w:rPr>
          <w:rFonts w:ascii="宋体" w:hAnsi="宋体" w:cs="Arial"/>
          <w:sz w:val="24"/>
        </w:rPr>
        <w:t>商务</w:t>
      </w:r>
      <w:r>
        <w:rPr>
          <w:rFonts w:hint="eastAsia" w:ascii="宋体" w:hAnsi="宋体" w:cs="Arial"/>
          <w:sz w:val="24"/>
        </w:rPr>
        <w:t>、</w:t>
      </w:r>
      <w:r>
        <w:rPr>
          <w:rFonts w:ascii="宋体" w:hAnsi="宋体" w:cs="Arial"/>
          <w:sz w:val="24"/>
        </w:rPr>
        <w:t>技术</w:t>
      </w:r>
      <w:r>
        <w:rPr>
          <w:rFonts w:hint="eastAsia" w:ascii="宋体" w:hAnsi="宋体" w:cs="Arial"/>
          <w:sz w:val="24"/>
        </w:rPr>
        <w:t>、</w:t>
      </w:r>
      <w:r>
        <w:rPr>
          <w:rFonts w:ascii="宋体" w:hAnsi="宋体" w:cs="Arial"/>
          <w:sz w:val="24"/>
        </w:rPr>
        <w:t>价格部分评审</w:t>
      </w:r>
    </w:p>
    <w:p>
      <w:pPr>
        <w:tabs>
          <w:tab w:val="left" w:pos="851"/>
        </w:tabs>
        <w:spacing w:line="400" w:lineRule="exact"/>
        <w:jc w:val="left"/>
        <w:rPr>
          <w:rFonts w:ascii="宋体" w:hAnsi="宋体" w:cs="仿宋"/>
          <w:b/>
          <w:color w:val="000000"/>
          <w:szCs w:val="21"/>
        </w:rPr>
      </w:pPr>
      <w:r>
        <w:rPr>
          <w:rFonts w:hint="eastAsia" w:ascii="宋体" w:hAnsi="宋体" w:cs="仿宋"/>
          <w:b/>
          <w:color w:val="000000"/>
          <w:szCs w:val="21"/>
        </w:rPr>
        <w:t>附表一：资格性和符合性审查表</w:t>
      </w:r>
    </w:p>
    <w:p>
      <w:pPr>
        <w:spacing w:line="400" w:lineRule="exact"/>
        <w:jc w:val="center"/>
        <w:rPr>
          <w:rFonts w:ascii="宋体" w:hAnsi="宋体" w:cs="仿宋"/>
          <w:b/>
          <w:color w:val="000000"/>
          <w:szCs w:val="21"/>
        </w:rPr>
      </w:pPr>
      <w:r>
        <w:rPr>
          <w:rFonts w:hint="eastAsia" w:ascii="宋体" w:hAnsi="宋体" w:cs="仿宋"/>
          <w:b/>
          <w:color w:val="000000"/>
          <w:szCs w:val="21"/>
        </w:rPr>
        <w:t>资格性和符合性审查表</w:t>
      </w:r>
    </w:p>
    <w:tbl>
      <w:tblPr>
        <w:tblStyle w:val="6"/>
        <w:tblpPr w:leftFromText="180" w:rightFromText="180" w:vertAnchor="text" w:horzAnchor="page" w:tblpX="1857" w:tblpY="406"/>
        <w:tblOverlap w:val="never"/>
        <w:tblW w:w="9087" w:type="dxa"/>
        <w:tblInd w:w="0" w:type="dxa"/>
        <w:tblBorders>
          <w:top w:val="single" w:color="111111" w:sz="12" w:space="0"/>
          <w:left w:val="single" w:color="111111" w:sz="12" w:space="0"/>
          <w:bottom w:val="single" w:color="111111" w:sz="12" w:space="0"/>
          <w:right w:val="single" w:color="111111" w:sz="12" w:space="0"/>
          <w:insideH w:val="single" w:color="111111" w:sz="4" w:space="0"/>
          <w:insideV w:val="single" w:color="111111" w:sz="4" w:space="0"/>
        </w:tblBorders>
        <w:tblLayout w:type="fixed"/>
        <w:tblCellMar>
          <w:top w:w="150" w:type="dxa"/>
          <w:left w:w="150" w:type="dxa"/>
          <w:bottom w:w="150" w:type="dxa"/>
          <w:right w:w="150" w:type="dxa"/>
        </w:tblCellMar>
      </w:tblPr>
      <w:tblGrid>
        <w:gridCol w:w="1535"/>
        <w:gridCol w:w="7552"/>
      </w:tblGrid>
      <w:tr>
        <w:tblPrEx>
          <w:tblBorders>
            <w:top w:val="single" w:color="111111" w:sz="12" w:space="0"/>
            <w:left w:val="single" w:color="111111" w:sz="12" w:space="0"/>
            <w:bottom w:val="single" w:color="111111" w:sz="12" w:space="0"/>
            <w:right w:val="single" w:color="111111" w:sz="12" w:space="0"/>
            <w:insideH w:val="single" w:color="111111" w:sz="4" w:space="0"/>
            <w:insideV w:val="single" w:color="111111" w:sz="4" w:space="0"/>
          </w:tblBorders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300" w:hRule="atLeast"/>
        </w:trPr>
        <w:tc>
          <w:tcPr>
            <w:tcW w:w="1535" w:type="dxa"/>
            <w:vAlign w:val="center"/>
          </w:tcPr>
          <w:p>
            <w:pPr>
              <w:snapToGrid w:val="0"/>
              <w:spacing w:line="400" w:lineRule="exact"/>
              <w:contextualSpacing/>
              <w:jc w:val="center"/>
              <w:rPr>
                <w:rFonts w:ascii="宋体" w:hAnsi="宋体" w:cs="仿宋"/>
                <w:color w:val="000000"/>
                <w:sz w:val="24"/>
              </w:rPr>
            </w:pPr>
            <w:r>
              <w:rPr>
                <w:rStyle w:val="8"/>
                <w:rFonts w:hint="eastAsia" w:ascii="宋体" w:hAnsi="宋体" w:cs="仿宋"/>
              </w:rPr>
              <w:t>审查项目</w:t>
            </w:r>
          </w:p>
        </w:tc>
        <w:tc>
          <w:tcPr>
            <w:tcW w:w="7552" w:type="dxa"/>
            <w:vAlign w:val="center"/>
          </w:tcPr>
          <w:p>
            <w:pPr>
              <w:snapToGrid w:val="0"/>
              <w:spacing w:line="400" w:lineRule="exact"/>
              <w:contextualSpacing/>
              <w:jc w:val="center"/>
              <w:rPr>
                <w:rFonts w:ascii="宋体" w:hAnsi="宋体" w:cs="仿宋"/>
                <w:color w:val="000000"/>
                <w:sz w:val="24"/>
              </w:rPr>
            </w:pPr>
            <w:r>
              <w:rPr>
                <w:rStyle w:val="8"/>
                <w:rFonts w:hint="eastAsia" w:ascii="宋体" w:hAnsi="宋体" w:cs="仿宋"/>
              </w:rPr>
              <w:t>要求</w:t>
            </w:r>
          </w:p>
        </w:tc>
      </w:tr>
      <w:tr>
        <w:tblPrEx>
          <w:tblBorders>
            <w:top w:val="single" w:color="111111" w:sz="12" w:space="0"/>
            <w:left w:val="single" w:color="111111" w:sz="12" w:space="0"/>
            <w:bottom w:val="single" w:color="111111" w:sz="12" w:space="0"/>
            <w:right w:val="single" w:color="111111" w:sz="12" w:space="0"/>
            <w:insideH w:val="single" w:color="111111" w:sz="4" w:space="0"/>
            <w:insideV w:val="single" w:color="111111" w:sz="4" w:space="0"/>
          </w:tblBorders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483" w:hRule="atLeast"/>
        </w:trPr>
        <w:tc>
          <w:tcPr>
            <w:tcW w:w="1535" w:type="dxa"/>
            <w:vAlign w:val="center"/>
          </w:tcPr>
          <w:p>
            <w:pPr>
              <w:pStyle w:val="5"/>
              <w:snapToGrid w:val="0"/>
              <w:spacing w:before="0" w:beforeAutospacing="0" w:after="0" w:afterAutospacing="0" w:line="400" w:lineRule="exact"/>
              <w:contextualSpacing/>
              <w:jc w:val="center"/>
              <w:rPr>
                <w:rFonts w:cs="仿宋"/>
              </w:rPr>
            </w:pPr>
            <w:r>
              <w:rPr>
                <w:rFonts w:hint="eastAsia" w:cs="仿宋"/>
              </w:rPr>
              <w:t>资格性审查</w:t>
            </w:r>
          </w:p>
        </w:tc>
        <w:tc>
          <w:tcPr>
            <w:tcW w:w="7552" w:type="dxa"/>
            <w:vAlign w:val="center"/>
          </w:tcPr>
          <w:p>
            <w:pPr>
              <w:snapToGrid w:val="0"/>
              <w:spacing w:line="400" w:lineRule="exact"/>
              <w:contextualSpacing/>
              <w:rPr>
                <w:rFonts w:ascii="宋体" w:hAnsi="宋体" w:cs="仿宋"/>
                <w:color w:val="000000"/>
                <w:sz w:val="24"/>
              </w:rPr>
            </w:pPr>
            <w:r>
              <w:rPr>
                <w:rFonts w:hint="eastAsia" w:ascii="微软雅黑" w:hAnsi="微软雅黑" w:eastAsia="微软雅黑"/>
                <w:color w:val="333333"/>
                <w:shd w:val="clear" w:color="auto" w:fill="FFFFFF"/>
              </w:rPr>
              <w:t>磋商函、法定代表人授权书、有关资格证明文件、响应文件等</w:t>
            </w:r>
          </w:p>
        </w:tc>
      </w:tr>
      <w:tr>
        <w:tblPrEx>
          <w:tblBorders>
            <w:top w:val="single" w:color="111111" w:sz="12" w:space="0"/>
            <w:left w:val="single" w:color="111111" w:sz="12" w:space="0"/>
            <w:bottom w:val="single" w:color="111111" w:sz="12" w:space="0"/>
            <w:right w:val="single" w:color="111111" w:sz="12" w:space="0"/>
            <w:insideH w:val="single" w:color="111111" w:sz="4" w:space="0"/>
            <w:insideV w:val="single" w:color="111111" w:sz="4" w:space="0"/>
          </w:tblBorders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128" w:hRule="atLeast"/>
        </w:trPr>
        <w:tc>
          <w:tcPr>
            <w:tcW w:w="9087" w:type="dxa"/>
            <w:gridSpan w:val="2"/>
            <w:vAlign w:val="center"/>
          </w:tcPr>
          <w:p>
            <w:pPr>
              <w:snapToGrid w:val="0"/>
              <w:spacing w:line="400" w:lineRule="exact"/>
              <w:contextualSpacing/>
              <w:jc w:val="center"/>
              <w:rPr>
                <w:rFonts w:ascii="宋体" w:hAnsi="宋体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仿宋"/>
                <w:b/>
                <w:bCs/>
                <w:color w:val="000000"/>
              </w:rPr>
              <w:t>不能通过资格性审查的供应商，不需进行以下内容的审查。</w:t>
            </w:r>
          </w:p>
        </w:tc>
      </w:tr>
      <w:tr>
        <w:tblPrEx>
          <w:tblBorders>
            <w:top w:val="single" w:color="111111" w:sz="12" w:space="0"/>
            <w:left w:val="single" w:color="111111" w:sz="12" w:space="0"/>
            <w:bottom w:val="single" w:color="111111" w:sz="12" w:space="0"/>
            <w:right w:val="single" w:color="111111" w:sz="12" w:space="0"/>
            <w:insideH w:val="single" w:color="111111" w:sz="4" w:space="0"/>
            <w:insideV w:val="single" w:color="111111" w:sz="4" w:space="0"/>
          </w:tblBorders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378" w:hRule="atLeast"/>
        </w:trPr>
        <w:tc>
          <w:tcPr>
            <w:tcW w:w="1535" w:type="dxa"/>
            <w:vMerge w:val="restart"/>
            <w:vAlign w:val="center"/>
          </w:tcPr>
          <w:p>
            <w:pPr>
              <w:pStyle w:val="5"/>
              <w:snapToGrid w:val="0"/>
              <w:spacing w:before="0" w:beforeAutospacing="0" w:after="0" w:afterAutospacing="0" w:line="400" w:lineRule="exact"/>
              <w:contextualSpacing/>
              <w:jc w:val="center"/>
              <w:rPr>
                <w:rFonts w:cs="仿宋"/>
              </w:rPr>
            </w:pPr>
            <w:r>
              <w:rPr>
                <w:rFonts w:hint="eastAsia" w:cs="仿宋"/>
              </w:rPr>
              <w:t>符合性审查</w:t>
            </w:r>
          </w:p>
        </w:tc>
        <w:tc>
          <w:tcPr>
            <w:tcW w:w="7552" w:type="dxa"/>
            <w:vAlign w:val="center"/>
          </w:tcPr>
          <w:p>
            <w:pPr>
              <w:snapToGrid w:val="0"/>
              <w:spacing w:line="400" w:lineRule="exact"/>
              <w:contextualSpacing/>
              <w:rPr>
                <w:rFonts w:ascii="宋体" w:hAnsi="宋体" w:cs="仿宋"/>
                <w:color w:val="000000"/>
              </w:rPr>
            </w:pPr>
            <w:r>
              <w:rPr>
                <w:rFonts w:hint="eastAsia" w:ascii="宋体" w:hAnsi="宋体" w:cs="仿宋"/>
                <w:color w:val="000000"/>
              </w:rPr>
              <w:t>1、对报价内容的关键、主要项目，供应商没有报价漏项。</w:t>
            </w:r>
          </w:p>
        </w:tc>
      </w:tr>
      <w:tr>
        <w:tblPrEx>
          <w:tblBorders>
            <w:top w:val="single" w:color="111111" w:sz="12" w:space="0"/>
            <w:left w:val="single" w:color="111111" w:sz="12" w:space="0"/>
            <w:bottom w:val="single" w:color="111111" w:sz="12" w:space="0"/>
            <w:right w:val="single" w:color="111111" w:sz="12" w:space="0"/>
            <w:insideH w:val="single" w:color="111111" w:sz="4" w:space="0"/>
            <w:insideV w:val="single" w:color="111111" w:sz="4" w:space="0"/>
          </w:tblBorders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444" w:hRule="atLeast"/>
        </w:trPr>
        <w:tc>
          <w:tcPr>
            <w:tcW w:w="1535" w:type="dxa"/>
            <w:vMerge w:val="continue"/>
            <w:vAlign w:val="center"/>
          </w:tcPr>
          <w:p>
            <w:pPr>
              <w:snapToGrid w:val="0"/>
              <w:spacing w:line="400" w:lineRule="exact"/>
              <w:contextualSpacing/>
              <w:rPr>
                <w:rFonts w:ascii="宋体" w:hAnsi="宋体" w:cs="仿宋"/>
                <w:color w:val="000000"/>
                <w:sz w:val="24"/>
              </w:rPr>
            </w:pPr>
          </w:p>
        </w:tc>
        <w:tc>
          <w:tcPr>
            <w:tcW w:w="7552" w:type="dxa"/>
            <w:vAlign w:val="center"/>
          </w:tcPr>
          <w:p>
            <w:pPr>
              <w:snapToGrid w:val="0"/>
              <w:spacing w:line="400" w:lineRule="exact"/>
              <w:contextualSpacing/>
              <w:rPr>
                <w:rFonts w:ascii="宋体" w:hAnsi="宋体" w:cs="仿宋"/>
                <w:color w:val="000000"/>
              </w:rPr>
            </w:pPr>
            <w:r>
              <w:rPr>
                <w:rFonts w:hint="eastAsia" w:ascii="宋体" w:hAnsi="宋体" w:cs="仿宋"/>
                <w:color w:val="000000"/>
              </w:rPr>
              <w:t>2、按要求提供响应文件。</w:t>
            </w:r>
          </w:p>
        </w:tc>
      </w:tr>
      <w:tr>
        <w:tblPrEx>
          <w:tblBorders>
            <w:top w:val="single" w:color="111111" w:sz="12" w:space="0"/>
            <w:left w:val="single" w:color="111111" w:sz="12" w:space="0"/>
            <w:bottom w:val="single" w:color="111111" w:sz="12" w:space="0"/>
            <w:right w:val="single" w:color="111111" w:sz="12" w:space="0"/>
            <w:insideH w:val="single" w:color="111111" w:sz="4" w:space="0"/>
            <w:insideV w:val="single" w:color="111111" w:sz="4" w:space="0"/>
          </w:tblBorders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137" w:hRule="atLeast"/>
        </w:trPr>
        <w:tc>
          <w:tcPr>
            <w:tcW w:w="1535" w:type="dxa"/>
            <w:vMerge w:val="continue"/>
            <w:vAlign w:val="center"/>
          </w:tcPr>
          <w:p>
            <w:pPr>
              <w:snapToGrid w:val="0"/>
              <w:spacing w:line="400" w:lineRule="exact"/>
              <w:contextualSpacing/>
              <w:rPr>
                <w:rFonts w:ascii="宋体" w:hAnsi="宋体" w:cs="仿宋"/>
                <w:color w:val="000000"/>
                <w:sz w:val="24"/>
              </w:rPr>
            </w:pPr>
          </w:p>
        </w:tc>
        <w:tc>
          <w:tcPr>
            <w:tcW w:w="7552" w:type="dxa"/>
            <w:vAlign w:val="center"/>
          </w:tcPr>
          <w:p>
            <w:pPr>
              <w:snapToGrid w:val="0"/>
              <w:spacing w:line="400" w:lineRule="exact"/>
              <w:contextualSpacing/>
              <w:rPr>
                <w:rFonts w:ascii="宋体" w:hAnsi="宋体" w:cs="仿宋"/>
                <w:color w:val="000000"/>
              </w:rPr>
            </w:pPr>
            <w:r>
              <w:rPr>
                <w:rFonts w:hint="eastAsia" w:ascii="宋体" w:hAnsi="宋体" w:cs="仿宋"/>
                <w:color w:val="000000"/>
              </w:rPr>
              <w:t>3、法定代表人/负责人资格证明书及授权委托书，按对应格式文件签署、盖章(原件)。</w:t>
            </w:r>
          </w:p>
        </w:tc>
      </w:tr>
      <w:tr>
        <w:tblPrEx>
          <w:tblBorders>
            <w:top w:val="single" w:color="111111" w:sz="12" w:space="0"/>
            <w:left w:val="single" w:color="111111" w:sz="12" w:space="0"/>
            <w:bottom w:val="single" w:color="111111" w:sz="12" w:space="0"/>
            <w:right w:val="single" w:color="111111" w:sz="12" w:space="0"/>
            <w:insideH w:val="single" w:color="111111" w:sz="4" w:space="0"/>
            <w:insideV w:val="single" w:color="111111" w:sz="4" w:space="0"/>
          </w:tblBorders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103" w:hRule="atLeast"/>
        </w:trPr>
        <w:tc>
          <w:tcPr>
            <w:tcW w:w="1535" w:type="dxa"/>
            <w:vMerge w:val="continue"/>
            <w:vAlign w:val="center"/>
          </w:tcPr>
          <w:p>
            <w:pPr>
              <w:snapToGrid w:val="0"/>
              <w:spacing w:line="400" w:lineRule="exact"/>
              <w:contextualSpacing/>
              <w:rPr>
                <w:rFonts w:ascii="宋体" w:hAnsi="宋体" w:cs="仿宋"/>
                <w:color w:val="000000"/>
                <w:sz w:val="24"/>
              </w:rPr>
            </w:pPr>
          </w:p>
        </w:tc>
        <w:tc>
          <w:tcPr>
            <w:tcW w:w="7552" w:type="dxa"/>
            <w:vAlign w:val="center"/>
          </w:tcPr>
          <w:p>
            <w:pPr>
              <w:snapToGrid w:val="0"/>
              <w:spacing w:line="400" w:lineRule="exact"/>
              <w:contextualSpacing/>
              <w:rPr>
                <w:rFonts w:ascii="宋体" w:hAnsi="宋体" w:cs="仿宋"/>
                <w:color w:val="000000"/>
              </w:rPr>
            </w:pPr>
            <w:r>
              <w:rPr>
                <w:rFonts w:hint="eastAsia" w:ascii="宋体" w:hAnsi="宋体" w:cs="仿宋"/>
                <w:color w:val="000000"/>
              </w:rPr>
              <w:t>4、响应文件完全满足磋商文件的实质性条款；</w:t>
            </w:r>
          </w:p>
        </w:tc>
      </w:tr>
      <w:tr>
        <w:tblPrEx>
          <w:tblBorders>
            <w:top w:val="single" w:color="111111" w:sz="12" w:space="0"/>
            <w:left w:val="single" w:color="111111" w:sz="12" w:space="0"/>
            <w:bottom w:val="single" w:color="111111" w:sz="12" w:space="0"/>
            <w:right w:val="single" w:color="111111" w:sz="12" w:space="0"/>
            <w:insideH w:val="single" w:color="111111" w:sz="4" w:space="0"/>
            <w:insideV w:val="single" w:color="111111" w:sz="4" w:space="0"/>
          </w:tblBorders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510" w:hRule="atLeast"/>
        </w:trPr>
        <w:tc>
          <w:tcPr>
            <w:tcW w:w="1535" w:type="dxa"/>
            <w:vMerge w:val="continue"/>
            <w:vAlign w:val="center"/>
          </w:tcPr>
          <w:p>
            <w:pPr>
              <w:snapToGrid w:val="0"/>
              <w:spacing w:line="400" w:lineRule="exact"/>
              <w:contextualSpacing/>
              <w:rPr>
                <w:rFonts w:ascii="宋体" w:hAnsi="宋体" w:cs="仿宋"/>
                <w:color w:val="000000"/>
                <w:sz w:val="24"/>
              </w:rPr>
            </w:pPr>
          </w:p>
        </w:tc>
        <w:tc>
          <w:tcPr>
            <w:tcW w:w="7552" w:type="dxa"/>
            <w:vAlign w:val="center"/>
          </w:tcPr>
          <w:p>
            <w:pPr>
              <w:snapToGrid w:val="0"/>
              <w:spacing w:line="400" w:lineRule="exact"/>
              <w:contextualSpacing/>
              <w:rPr>
                <w:rFonts w:ascii="宋体" w:hAnsi="宋体" w:cs="仿宋"/>
                <w:color w:val="000000"/>
              </w:rPr>
            </w:pPr>
            <w:r>
              <w:rPr>
                <w:rFonts w:hint="eastAsia" w:ascii="宋体" w:hAnsi="宋体" w:cs="仿宋"/>
                <w:color w:val="000000"/>
              </w:rPr>
              <w:t>5、提交磋商函。响应文件完整且编排有序，响应内容基本完整，无重大错漏，并按要求密封、签署、盖章。</w:t>
            </w:r>
          </w:p>
        </w:tc>
      </w:tr>
      <w:tr>
        <w:tblPrEx>
          <w:tblBorders>
            <w:top w:val="single" w:color="111111" w:sz="12" w:space="0"/>
            <w:left w:val="single" w:color="111111" w:sz="12" w:space="0"/>
            <w:bottom w:val="single" w:color="111111" w:sz="12" w:space="0"/>
            <w:right w:val="single" w:color="111111" w:sz="12" w:space="0"/>
            <w:insideH w:val="single" w:color="111111" w:sz="4" w:space="0"/>
            <w:insideV w:val="single" w:color="111111" w:sz="4" w:space="0"/>
          </w:tblBorders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510" w:hRule="atLeast"/>
        </w:trPr>
        <w:tc>
          <w:tcPr>
            <w:tcW w:w="1535" w:type="dxa"/>
            <w:vMerge w:val="continue"/>
            <w:vAlign w:val="center"/>
          </w:tcPr>
          <w:p>
            <w:pPr>
              <w:snapToGrid w:val="0"/>
              <w:spacing w:line="400" w:lineRule="exact"/>
              <w:contextualSpacing/>
              <w:rPr>
                <w:rFonts w:ascii="宋体" w:hAnsi="宋体" w:cs="仿宋"/>
                <w:color w:val="000000"/>
                <w:sz w:val="24"/>
              </w:rPr>
            </w:pPr>
          </w:p>
        </w:tc>
        <w:tc>
          <w:tcPr>
            <w:tcW w:w="7552" w:type="dxa"/>
            <w:vAlign w:val="center"/>
          </w:tcPr>
          <w:p>
            <w:pPr>
              <w:snapToGrid w:val="0"/>
              <w:spacing w:line="400" w:lineRule="exact"/>
              <w:contextualSpacing/>
              <w:rPr>
                <w:rFonts w:ascii="宋体" w:hAnsi="宋体" w:cs="仿宋"/>
                <w:color w:val="000000"/>
              </w:rPr>
            </w:pPr>
            <w:r>
              <w:rPr>
                <w:rFonts w:hint="eastAsia" w:ascii="宋体" w:hAnsi="宋体" w:cs="仿宋"/>
                <w:color w:val="000000"/>
              </w:rPr>
              <w:t>6、响应文件没有磋商文件中规定的被视为无效磋商的其它条款的；</w:t>
            </w:r>
          </w:p>
        </w:tc>
      </w:tr>
      <w:tr>
        <w:tblPrEx>
          <w:tblBorders>
            <w:top w:val="single" w:color="111111" w:sz="12" w:space="0"/>
            <w:left w:val="single" w:color="111111" w:sz="12" w:space="0"/>
            <w:bottom w:val="single" w:color="111111" w:sz="12" w:space="0"/>
            <w:right w:val="single" w:color="111111" w:sz="12" w:space="0"/>
            <w:insideH w:val="single" w:color="111111" w:sz="4" w:space="0"/>
            <w:insideV w:val="single" w:color="111111" w:sz="4" w:space="0"/>
          </w:tblBorders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224" w:hRule="atLeast"/>
        </w:trPr>
        <w:tc>
          <w:tcPr>
            <w:tcW w:w="1535" w:type="dxa"/>
            <w:vMerge w:val="continue"/>
            <w:vAlign w:val="center"/>
          </w:tcPr>
          <w:p>
            <w:pPr>
              <w:snapToGrid w:val="0"/>
              <w:spacing w:line="400" w:lineRule="exact"/>
              <w:contextualSpacing/>
              <w:rPr>
                <w:rFonts w:ascii="宋体" w:hAnsi="宋体" w:cs="仿宋"/>
                <w:color w:val="000000"/>
                <w:sz w:val="24"/>
              </w:rPr>
            </w:pPr>
          </w:p>
        </w:tc>
        <w:tc>
          <w:tcPr>
            <w:tcW w:w="7552" w:type="dxa"/>
            <w:vAlign w:val="center"/>
          </w:tcPr>
          <w:p>
            <w:pPr>
              <w:snapToGrid w:val="0"/>
              <w:spacing w:line="400" w:lineRule="exact"/>
              <w:contextualSpacing/>
              <w:rPr>
                <w:rFonts w:ascii="宋体" w:hAnsi="宋体" w:cs="仿宋"/>
                <w:color w:val="000000"/>
              </w:rPr>
            </w:pPr>
            <w:r>
              <w:rPr>
                <w:rFonts w:hint="eastAsia" w:ascii="宋体" w:hAnsi="宋体" w:cs="仿宋"/>
                <w:color w:val="000000"/>
              </w:rPr>
              <w:t>7、磋商有效期满足磋商文件要求；</w:t>
            </w:r>
          </w:p>
        </w:tc>
      </w:tr>
      <w:tr>
        <w:tblPrEx>
          <w:tblBorders>
            <w:top w:val="single" w:color="111111" w:sz="12" w:space="0"/>
            <w:left w:val="single" w:color="111111" w:sz="12" w:space="0"/>
            <w:bottom w:val="single" w:color="111111" w:sz="12" w:space="0"/>
            <w:right w:val="single" w:color="111111" w:sz="12" w:space="0"/>
            <w:insideH w:val="single" w:color="111111" w:sz="4" w:space="0"/>
            <w:insideV w:val="single" w:color="111111" w:sz="4" w:space="0"/>
          </w:tblBorders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224" w:hRule="atLeast"/>
        </w:trPr>
        <w:tc>
          <w:tcPr>
            <w:tcW w:w="1535" w:type="dxa"/>
            <w:vMerge w:val="continue"/>
            <w:vAlign w:val="center"/>
          </w:tcPr>
          <w:p>
            <w:pPr>
              <w:snapToGrid w:val="0"/>
              <w:spacing w:line="400" w:lineRule="exact"/>
              <w:contextualSpacing/>
              <w:rPr>
                <w:rFonts w:ascii="宋体" w:hAnsi="宋体" w:cs="仿宋"/>
                <w:color w:val="000000"/>
                <w:sz w:val="24"/>
              </w:rPr>
            </w:pPr>
          </w:p>
        </w:tc>
        <w:tc>
          <w:tcPr>
            <w:tcW w:w="7552" w:type="dxa"/>
            <w:vAlign w:val="center"/>
          </w:tcPr>
          <w:p>
            <w:pPr>
              <w:snapToGrid w:val="0"/>
              <w:spacing w:line="400" w:lineRule="exact"/>
              <w:contextualSpacing/>
              <w:rPr>
                <w:rFonts w:ascii="宋体" w:hAnsi="宋体" w:cs="仿宋"/>
                <w:color w:val="000000"/>
              </w:rPr>
            </w:pPr>
            <w:r>
              <w:rPr>
                <w:rFonts w:hint="eastAsia" w:ascii="宋体" w:hAnsi="宋体" w:cs="仿宋"/>
                <w:color w:val="000000"/>
              </w:rPr>
              <w:t>8、如报价出现修正，报价人按磋商文件规定书面确认。</w:t>
            </w:r>
          </w:p>
        </w:tc>
      </w:tr>
      <w:tr>
        <w:tblPrEx>
          <w:tblBorders>
            <w:top w:val="single" w:color="111111" w:sz="12" w:space="0"/>
            <w:left w:val="single" w:color="111111" w:sz="12" w:space="0"/>
            <w:bottom w:val="single" w:color="111111" w:sz="12" w:space="0"/>
            <w:right w:val="single" w:color="111111" w:sz="12" w:space="0"/>
            <w:insideH w:val="single" w:color="111111" w:sz="4" w:space="0"/>
            <w:insideV w:val="single" w:color="111111" w:sz="4" w:space="0"/>
          </w:tblBorders>
          <w:tblCellMar>
            <w:top w:w="150" w:type="dxa"/>
            <w:left w:w="150" w:type="dxa"/>
            <w:bottom w:w="150" w:type="dxa"/>
            <w:right w:w="150" w:type="dxa"/>
          </w:tblCellMar>
        </w:tblPrEx>
        <w:tc>
          <w:tcPr>
            <w:tcW w:w="1535" w:type="dxa"/>
            <w:vMerge w:val="continue"/>
            <w:vAlign w:val="center"/>
          </w:tcPr>
          <w:p>
            <w:pPr>
              <w:snapToGrid w:val="0"/>
              <w:spacing w:line="400" w:lineRule="exact"/>
              <w:contextualSpacing/>
              <w:rPr>
                <w:rFonts w:ascii="宋体" w:hAnsi="宋体" w:cs="仿宋"/>
                <w:color w:val="000000"/>
                <w:sz w:val="24"/>
              </w:rPr>
            </w:pPr>
          </w:p>
        </w:tc>
        <w:tc>
          <w:tcPr>
            <w:tcW w:w="7552" w:type="dxa"/>
            <w:vAlign w:val="center"/>
          </w:tcPr>
          <w:p>
            <w:pPr>
              <w:snapToGrid w:val="0"/>
              <w:spacing w:line="400" w:lineRule="exact"/>
              <w:contextualSpacing/>
              <w:rPr>
                <w:rFonts w:ascii="宋体" w:hAnsi="宋体" w:cs="仿宋"/>
                <w:color w:val="000000"/>
              </w:rPr>
            </w:pPr>
            <w:r>
              <w:rPr>
                <w:rFonts w:hint="eastAsia" w:ascii="宋体" w:hAnsi="宋体" w:cs="仿宋"/>
                <w:color w:val="000000"/>
              </w:rPr>
              <w:t>9、按有关法律、法规、规章不属于磋商无效的；</w:t>
            </w:r>
          </w:p>
        </w:tc>
      </w:tr>
      <w:tr>
        <w:tblPrEx>
          <w:tblBorders>
            <w:top w:val="single" w:color="111111" w:sz="12" w:space="0"/>
            <w:left w:val="single" w:color="111111" w:sz="12" w:space="0"/>
            <w:bottom w:val="single" w:color="111111" w:sz="12" w:space="0"/>
            <w:right w:val="single" w:color="111111" w:sz="12" w:space="0"/>
            <w:insideH w:val="single" w:color="111111" w:sz="4" w:space="0"/>
            <w:insideV w:val="single" w:color="111111" w:sz="4" w:space="0"/>
          </w:tblBorders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90" w:hRule="atLeast"/>
        </w:trPr>
        <w:tc>
          <w:tcPr>
            <w:tcW w:w="1535" w:type="dxa"/>
            <w:vMerge w:val="continue"/>
            <w:vAlign w:val="center"/>
          </w:tcPr>
          <w:p>
            <w:pPr>
              <w:snapToGrid w:val="0"/>
              <w:spacing w:line="400" w:lineRule="exact"/>
              <w:contextualSpacing/>
              <w:rPr>
                <w:rFonts w:ascii="宋体" w:hAnsi="宋体" w:cs="仿宋"/>
                <w:color w:val="000000"/>
                <w:sz w:val="24"/>
              </w:rPr>
            </w:pPr>
          </w:p>
        </w:tc>
        <w:tc>
          <w:tcPr>
            <w:tcW w:w="7552" w:type="dxa"/>
            <w:vAlign w:val="center"/>
          </w:tcPr>
          <w:p>
            <w:pPr>
              <w:snapToGrid w:val="0"/>
              <w:spacing w:line="400" w:lineRule="exact"/>
              <w:contextualSpacing/>
              <w:rPr>
                <w:rFonts w:ascii="宋体" w:hAnsi="宋体" w:cs="仿宋"/>
                <w:color w:val="000000"/>
              </w:rPr>
            </w:pPr>
            <w:r>
              <w:rPr>
                <w:rFonts w:hint="eastAsia" w:ascii="宋体" w:hAnsi="宋体" w:cs="仿宋"/>
                <w:color w:val="000000"/>
              </w:rPr>
              <w:t>10、报价总金额是固定价且是唯一的，未超过本项目采购预算。</w:t>
            </w:r>
          </w:p>
        </w:tc>
      </w:tr>
    </w:tbl>
    <w:p>
      <w:pPr>
        <w:snapToGrid w:val="0"/>
        <w:spacing w:line="400" w:lineRule="exact"/>
        <w:contextualSpacing/>
        <w:rPr>
          <w:rFonts w:ascii="宋体" w:hAnsi="宋体" w:cs="仿宋"/>
          <w:color w:val="000000"/>
          <w:szCs w:val="21"/>
        </w:rPr>
      </w:pPr>
      <w:r>
        <w:rPr>
          <w:rFonts w:hint="eastAsia" w:ascii="宋体" w:hAnsi="宋体" w:cs="仿宋"/>
          <w:color w:val="000000"/>
          <w:szCs w:val="21"/>
        </w:rPr>
        <w:t>备注：1.本表与磋商文件中相关评审条款内容不一致的，以本表内容为准。</w:t>
      </w:r>
    </w:p>
    <w:p>
      <w:pPr>
        <w:snapToGrid w:val="0"/>
        <w:spacing w:line="400" w:lineRule="exact"/>
        <w:ind w:firstLine="617" w:firstLineChars="294"/>
        <w:contextualSpacing/>
        <w:rPr>
          <w:rFonts w:ascii="宋体" w:hAnsi="宋体" w:cs="仿宋"/>
          <w:color w:val="000000"/>
          <w:szCs w:val="21"/>
        </w:rPr>
      </w:pPr>
      <w:r>
        <w:rPr>
          <w:rFonts w:hint="eastAsia" w:ascii="宋体" w:hAnsi="宋体" w:cs="仿宋"/>
          <w:color w:val="000000"/>
          <w:szCs w:val="21"/>
        </w:rPr>
        <w:t>2.每一项符合的打“√”，不符合的打“×”。</w:t>
      </w:r>
    </w:p>
    <w:p>
      <w:pPr>
        <w:snapToGrid w:val="0"/>
        <w:spacing w:line="400" w:lineRule="exact"/>
        <w:ind w:left="764" w:leftChars="257" w:hanging="224"/>
        <w:contextualSpacing/>
        <w:rPr>
          <w:rFonts w:ascii="宋体" w:hAnsi="宋体" w:cs="仿宋"/>
          <w:color w:val="000000"/>
          <w:szCs w:val="21"/>
        </w:rPr>
      </w:pPr>
      <w:r>
        <w:rPr>
          <w:rFonts w:hint="eastAsia" w:ascii="宋体" w:hAnsi="宋体" w:cs="仿宋"/>
          <w:color w:val="000000"/>
          <w:szCs w:val="21"/>
        </w:rPr>
        <w:t>3.“结论”一栏填写“通过”或“不通过”；任何一项出现“×”的，结论为不通过；不通过的为无效响应。</w:t>
      </w:r>
    </w:p>
    <w:p>
      <w:pPr>
        <w:adjustRightInd w:val="0"/>
        <w:snapToGrid w:val="0"/>
        <w:spacing w:line="360" w:lineRule="auto"/>
        <w:ind w:left="764" w:leftChars="257" w:hanging="224"/>
        <w:rPr>
          <w:rFonts w:ascii="宋体" w:hAnsi="宋体" w:cs="仿宋"/>
          <w:color w:val="000000"/>
          <w:szCs w:val="21"/>
        </w:rPr>
      </w:pPr>
      <w:r>
        <w:rPr>
          <w:rFonts w:hint="eastAsia" w:ascii="宋体" w:hAnsi="宋体" w:cs="仿宋"/>
          <w:color w:val="000000"/>
          <w:szCs w:val="21"/>
        </w:rPr>
        <w:t>4.汇总时出现不同意见的，磋商小组按简单多数原则表决决定。</w:t>
      </w:r>
      <w:bookmarkStart w:id="0" w:name="_Toc418756826"/>
      <w:bookmarkStart w:id="1" w:name="_Toc278274487"/>
      <w:bookmarkStart w:id="2" w:name="_Toc278794808"/>
    </w:p>
    <w:p>
      <w:pPr>
        <w:adjustRightInd w:val="0"/>
        <w:snapToGrid w:val="0"/>
        <w:spacing w:line="360" w:lineRule="auto"/>
        <w:ind w:left="764" w:leftChars="257" w:hanging="224"/>
        <w:rPr>
          <w:rFonts w:ascii="仿宋" w:hAnsi="仿宋" w:eastAsia="仿宋" w:cs="仿宋"/>
          <w:color w:val="000000"/>
          <w:szCs w:val="21"/>
        </w:rPr>
      </w:pPr>
    </w:p>
    <w:p>
      <w:pPr>
        <w:adjustRightInd w:val="0"/>
        <w:snapToGrid w:val="0"/>
        <w:spacing w:line="360" w:lineRule="auto"/>
        <w:ind w:left="764" w:leftChars="257" w:hanging="224"/>
        <w:rPr>
          <w:rFonts w:ascii="仿宋" w:hAnsi="仿宋" w:eastAsia="仿宋" w:cs="仿宋"/>
          <w:color w:val="000000"/>
          <w:szCs w:val="21"/>
        </w:rPr>
      </w:pPr>
    </w:p>
    <w:p>
      <w:pPr>
        <w:adjustRightInd w:val="0"/>
        <w:snapToGrid w:val="0"/>
        <w:spacing w:line="360" w:lineRule="auto"/>
        <w:ind w:left="764" w:leftChars="257" w:hanging="224"/>
        <w:rPr>
          <w:rFonts w:ascii="仿宋" w:hAnsi="仿宋" w:eastAsia="仿宋" w:cs="仿宋"/>
          <w:color w:val="000000"/>
          <w:szCs w:val="21"/>
        </w:rPr>
      </w:pPr>
    </w:p>
    <w:p>
      <w:pPr>
        <w:adjustRightInd w:val="0"/>
        <w:snapToGrid w:val="0"/>
        <w:spacing w:line="360" w:lineRule="auto"/>
        <w:rPr>
          <w:rFonts w:ascii="宋体" w:hAnsi="宋体" w:cs="仿宋"/>
          <w:b/>
          <w:color w:val="000000"/>
          <w:szCs w:val="21"/>
        </w:rPr>
      </w:pPr>
      <w:r>
        <w:rPr>
          <w:rFonts w:hint="eastAsia" w:ascii="宋体" w:hAnsi="宋体" w:cs="仿宋"/>
          <w:b/>
          <w:color w:val="000000"/>
          <w:szCs w:val="21"/>
        </w:rPr>
        <w:t>附表二：技术、商务评审表</w:t>
      </w:r>
    </w:p>
    <w:tbl>
      <w:tblPr>
        <w:tblStyle w:val="6"/>
        <w:tblW w:w="92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3"/>
        <w:gridCol w:w="1212"/>
        <w:gridCol w:w="787"/>
        <w:gridCol w:w="5476"/>
        <w:gridCol w:w="11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8148" w:type="dxa"/>
            <w:gridSpan w:val="4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ind w:firstLine="667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>
              <w:rPr>
                <w:rFonts w:hint="eastAsia" w:ascii="宋体" w:hAnsi="宋体" w:cs="宋体"/>
                <w:b/>
                <w:szCs w:val="21"/>
                <w:lang w:val="zh-CN"/>
              </w:rPr>
              <w:t>评分项及评分规则</w:t>
            </w:r>
          </w:p>
        </w:tc>
        <w:tc>
          <w:tcPr>
            <w:tcW w:w="1117" w:type="dxa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rPr>
                <w:rFonts w:ascii="宋体" w:hAnsi="宋体" w:cs="宋体"/>
                <w:b/>
                <w:szCs w:val="21"/>
                <w:lang w:val="zh-CN"/>
              </w:rPr>
            </w:pPr>
            <w:r>
              <w:rPr>
                <w:rFonts w:hint="eastAsia" w:ascii="宋体" w:hAnsi="宋体" w:cs="宋体"/>
                <w:b/>
                <w:szCs w:val="21"/>
                <w:lang w:val="zh-CN"/>
              </w:rPr>
              <w:t>权重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8148" w:type="dxa"/>
            <w:gridSpan w:val="4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ind w:firstLine="667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>
              <w:rPr>
                <w:rFonts w:hint="eastAsia" w:ascii="宋体" w:hAnsi="宋体" w:cs="宋体"/>
                <w:b/>
                <w:szCs w:val="21"/>
                <w:lang w:val="zh-CN"/>
              </w:rPr>
              <w:t>一、价格部分</w:t>
            </w:r>
          </w:p>
        </w:tc>
        <w:tc>
          <w:tcPr>
            <w:tcW w:w="1117" w:type="dxa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ind w:firstLine="664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8148" w:type="dxa"/>
            <w:gridSpan w:val="4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ind w:firstLine="664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价格分计算方法：满足招标文件要求且投标价格最低的投标报价为评标基准价，其价格分为满分。其他投标人的价格分统一按照下列公式计算：投标报价得分=(评标基准价／投标报价)×价格权重。</w:t>
            </w:r>
          </w:p>
        </w:tc>
        <w:tc>
          <w:tcPr>
            <w:tcW w:w="1117" w:type="dxa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rPr>
                <w:rFonts w:ascii="宋体" w:hAnsi="宋体" w:cs="宋体"/>
                <w:szCs w:val="21"/>
                <w:lang w:val="zh-CN"/>
              </w:rPr>
            </w:pPr>
            <w:r>
              <w:rPr>
                <w:rFonts w:hint="eastAsia" w:ascii="宋体" w:hAnsi="宋体" w:cs="宋体"/>
                <w:szCs w:val="21"/>
                <w:lang w:val="zh-CN"/>
              </w:rPr>
              <w:t>评分方式</w:t>
            </w:r>
          </w:p>
          <w:p>
            <w:pPr>
              <w:autoSpaceDE w:val="0"/>
              <w:autoSpaceDN w:val="0"/>
              <w:adjustRightInd w:val="0"/>
              <w:spacing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zh-CN"/>
              </w:rPr>
              <w:t>按公式计算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8148" w:type="dxa"/>
            <w:gridSpan w:val="4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ind w:firstLine="667"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  <w:lang w:val="zh-CN"/>
              </w:rPr>
              <w:t>二、服务技术部分</w:t>
            </w:r>
          </w:p>
        </w:tc>
        <w:tc>
          <w:tcPr>
            <w:tcW w:w="1117" w:type="dxa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ind w:firstLine="664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673" w:type="dxa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ind w:firstLine="664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zh-CN"/>
              </w:rPr>
              <w:t>序序号</w:t>
            </w:r>
          </w:p>
        </w:tc>
        <w:tc>
          <w:tcPr>
            <w:tcW w:w="1212" w:type="dxa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zh-CN"/>
              </w:rPr>
              <w:t>内容</w:t>
            </w:r>
          </w:p>
        </w:tc>
        <w:tc>
          <w:tcPr>
            <w:tcW w:w="787" w:type="dxa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ind w:firstLine="664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zh-CN"/>
              </w:rPr>
              <w:t>权权重</w:t>
            </w:r>
          </w:p>
        </w:tc>
        <w:tc>
          <w:tcPr>
            <w:tcW w:w="5476" w:type="dxa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zh-CN"/>
              </w:rPr>
              <w:t>评分规则</w:t>
            </w:r>
          </w:p>
        </w:tc>
        <w:tc>
          <w:tcPr>
            <w:tcW w:w="1117" w:type="dxa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zh-CN"/>
              </w:rPr>
              <w:t>评分方式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73" w:type="dxa"/>
            <w:vAlign w:val="center"/>
          </w:tcPr>
          <w:p>
            <w:pPr>
              <w:spacing w:line="360" w:lineRule="auto"/>
              <w:ind w:firstLine="664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11</w:t>
            </w:r>
          </w:p>
        </w:tc>
        <w:tc>
          <w:tcPr>
            <w:tcW w:w="1212" w:type="dxa"/>
            <w:vAlign w:val="center"/>
          </w:tcPr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服务需求指标响应情况</w:t>
            </w:r>
          </w:p>
        </w:tc>
        <w:tc>
          <w:tcPr>
            <w:tcW w:w="787" w:type="dxa"/>
            <w:vAlign w:val="center"/>
          </w:tcPr>
          <w:p>
            <w:pPr>
              <w:spacing w:line="360" w:lineRule="auto"/>
              <w:ind w:firstLine="664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410</w:t>
            </w:r>
          </w:p>
        </w:tc>
        <w:tc>
          <w:tcPr>
            <w:tcW w:w="5476" w:type="dxa"/>
            <w:vAlign w:val="center"/>
          </w:tcPr>
          <w:p>
            <w:pPr>
              <w:spacing w:line="360" w:lineRule="auto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评分标准：</w:t>
            </w:r>
          </w:p>
          <w:p>
            <w:pPr>
              <w:spacing w:line="360" w:lineRule="auto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要求对服务需求要求进行一一响应，完全响应服务需求或优于服务需求的得10分；每个▲项不能响应或负偏离扣3分/项，每个非▲项不能响应或负偏离扣1分/项，扣完为止。</w:t>
            </w:r>
          </w:p>
          <w:p>
            <w:pPr>
              <w:spacing w:line="360" w:lineRule="auto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注：所有要求提供相关证明材料的，由投标商盖章确认，未按要求提供或提供不清晰或不完整的，评委会有权认定为负偏离。</w:t>
            </w:r>
          </w:p>
        </w:tc>
        <w:tc>
          <w:tcPr>
            <w:tcW w:w="1117" w:type="dxa"/>
            <w:vAlign w:val="center"/>
          </w:tcPr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zh-CN"/>
              </w:rPr>
              <w:t>评委打分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673" w:type="dxa"/>
            <w:vAlign w:val="center"/>
          </w:tcPr>
          <w:p>
            <w:pPr>
              <w:spacing w:line="360" w:lineRule="auto"/>
              <w:ind w:firstLine="664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22</w:t>
            </w:r>
          </w:p>
        </w:tc>
        <w:tc>
          <w:tcPr>
            <w:tcW w:w="1212" w:type="dxa"/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服务方案响应情况</w:t>
            </w:r>
          </w:p>
        </w:tc>
        <w:tc>
          <w:tcPr>
            <w:tcW w:w="787" w:type="dxa"/>
            <w:vAlign w:val="center"/>
          </w:tcPr>
          <w:p>
            <w:pPr>
              <w:spacing w:line="360" w:lineRule="auto"/>
              <w:ind w:firstLine="664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110</w:t>
            </w:r>
          </w:p>
        </w:tc>
        <w:tc>
          <w:tcPr>
            <w:tcW w:w="5476" w:type="dxa"/>
            <w:vAlign w:val="center"/>
          </w:tcPr>
          <w:p>
            <w:pPr>
              <w:spacing w:line="360" w:lineRule="auto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评分标准：</w:t>
            </w:r>
          </w:p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1、安全管理咨询服务，能满足针对政务外网安全管理、治理和咨询建议所提的需求，有清晰的服务过程内容描述的得2分，一般的得1分，不符合要求的不得分；</w:t>
            </w:r>
          </w:p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2、系统上云前的安全评估服务，能对上云的主机和应用系统安全风险评估的服务内容、过程描述清晰，技术要求符合性强的得1分，一般的得0.5分，不符合要求的不得分；</w:t>
            </w:r>
          </w:p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3、</w:t>
            </w:r>
            <w:r>
              <w:rPr>
                <w:rFonts w:hint="eastAsia" w:ascii="宋体" w:hAnsi="宋体"/>
                <w:szCs w:val="21"/>
              </w:rPr>
              <w:t>安全</w:t>
            </w:r>
            <w:r>
              <w:rPr>
                <w:rFonts w:hint="eastAsia" w:ascii="宋体" w:hAnsi="宋体" w:cs="宋体"/>
                <w:szCs w:val="21"/>
              </w:rPr>
              <w:t>监测</w:t>
            </w:r>
            <w:r>
              <w:rPr>
                <w:rFonts w:hint="eastAsia" w:ascii="宋体" w:hAnsi="宋体"/>
                <w:szCs w:val="21"/>
              </w:rPr>
              <w:t>预警服务，</w:t>
            </w:r>
            <w:r>
              <w:rPr>
                <w:rFonts w:hint="eastAsia" w:ascii="宋体" w:hAnsi="宋体" w:cs="宋体"/>
                <w:szCs w:val="21"/>
              </w:rPr>
              <w:t>风险监测</w:t>
            </w:r>
            <w:r>
              <w:rPr>
                <w:rFonts w:hint="eastAsia" w:ascii="宋体" w:hAnsi="宋体"/>
                <w:szCs w:val="21"/>
              </w:rPr>
              <w:t>预警</w:t>
            </w:r>
            <w:r>
              <w:rPr>
                <w:rFonts w:hint="eastAsia" w:ascii="宋体" w:hAnsi="宋体" w:cs="宋体"/>
                <w:szCs w:val="21"/>
              </w:rPr>
              <w:t>评估内容、过程描述清晰，技术要求符合性强的得1分，一般的得0.5分，不符合要求的不得分；</w:t>
            </w:r>
          </w:p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4、</w:t>
            </w:r>
            <w:r>
              <w:rPr>
                <w:rFonts w:hint="eastAsia" w:ascii="宋体" w:hAnsi="宋体"/>
                <w:szCs w:val="21"/>
              </w:rPr>
              <w:t>安全应急响应服务，应急事件管理内容、</w:t>
            </w:r>
            <w:r>
              <w:rPr>
                <w:rFonts w:hint="eastAsia" w:ascii="宋体" w:hAnsi="宋体" w:cs="宋体"/>
                <w:szCs w:val="21"/>
              </w:rPr>
              <w:t>过程描述清晰，技术要求符合性强的得2分，一般的得1分，不符合要求的不得分；</w:t>
            </w:r>
          </w:p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5、</w:t>
            </w:r>
            <w:r>
              <w:rPr>
                <w:rFonts w:hint="eastAsia" w:ascii="宋体" w:hAnsi="宋体"/>
                <w:szCs w:val="21"/>
              </w:rPr>
              <w:t>应急演练服务内容、</w:t>
            </w:r>
            <w:r>
              <w:rPr>
                <w:rFonts w:hint="eastAsia" w:ascii="宋体" w:hAnsi="宋体" w:cs="宋体"/>
                <w:szCs w:val="21"/>
              </w:rPr>
              <w:t>过程描述清晰，技术要求符合性强的得得2分，一般的得1分，不符合要求的不得分；</w:t>
            </w:r>
          </w:p>
          <w:p>
            <w:pPr>
              <w:spacing w:line="360" w:lineRule="auto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6、</w:t>
            </w:r>
            <w:r>
              <w:rPr>
                <w:rFonts w:hint="eastAsia" w:ascii="宋体" w:hAnsi="宋体"/>
                <w:szCs w:val="21"/>
              </w:rPr>
              <w:t>安全培训服务，培训内容、</w:t>
            </w:r>
            <w:r>
              <w:rPr>
                <w:rFonts w:hint="eastAsia" w:ascii="宋体" w:hAnsi="宋体" w:cs="宋体"/>
                <w:szCs w:val="21"/>
              </w:rPr>
              <w:t>过程描述清晰，技术要求符合性强的得2分，一般的得1分，不符合要求的不得分；</w:t>
            </w:r>
          </w:p>
        </w:tc>
        <w:tc>
          <w:tcPr>
            <w:tcW w:w="1117" w:type="dxa"/>
            <w:vAlign w:val="center"/>
          </w:tcPr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zh-CN"/>
              </w:rPr>
              <w:t>评委打分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673" w:type="dxa"/>
            <w:vAlign w:val="center"/>
          </w:tcPr>
          <w:p>
            <w:pPr>
              <w:pStyle w:val="9"/>
              <w:spacing w:line="360" w:lineRule="auto"/>
              <w:ind w:firstLine="0" w:firstLineChars="0"/>
              <w:jc w:val="center"/>
              <w:rPr>
                <w:rFonts w:ascii="宋体" w:eastAsia="宋体" w:cs="宋体"/>
                <w:sz w:val="21"/>
                <w:szCs w:val="21"/>
              </w:rPr>
            </w:pPr>
            <w:r>
              <w:rPr>
                <w:rFonts w:hint="eastAsia" w:ascii="宋体" w:eastAsia="宋体" w:cs="宋体"/>
                <w:sz w:val="21"/>
                <w:szCs w:val="21"/>
              </w:rPr>
              <w:t>3</w:t>
            </w:r>
          </w:p>
        </w:tc>
        <w:tc>
          <w:tcPr>
            <w:tcW w:w="1212" w:type="dxa"/>
            <w:vAlign w:val="center"/>
          </w:tcPr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安全服务工具优异性评价</w:t>
            </w:r>
          </w:p>
        </w:tc>
        <w:tc>
          <w:tcPr>
            <w:tcW w:w="787" w:type="dxa"/>
            <w:vAlign w:val="center"/>
          </w:tcPr>
          <w:p>
            <w:pPr>
              <w:spacing w:line="360" w:lineRule="auto"/>
              <w:ind w:firstLine="664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615</w:t>
            </w:r>
          </w:p>
        </w:tc>
        <w:tc>
          <w:tcPr>
            <w:tcW w:w="5476" w:type="dxa"/>
            <w:vAlign w:val="center"/>
          </w:tcPr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1、</w:t>
            </w:r>
            <w:r>
              <w:rPr>
                <w:rFonts w:hint="eastAsia" w:ascii="宋体" w:hAnsi="宋体" w:cs="宋体"/>
                <w:szCs w:val="21"/>
              </w:rPr>
              <w:t>数据信息安全相关资质认证：</w:t>
            </w:r>
          </w:p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①获得认证中心颁发的《信息安全管理体系认证证书》（ISO/IEC 27001:2022）标准，得6分</w:t>
            </w:r>
            <w:r>
              <w:rPr>
                <w:rFonts w:ascii="宋体" w:hAnsi="宋体" w:cs="宋体"/>
                <w:szCs w:val="21"/>
              </w:rPr>
              <w:t>。</w:t>
            </w:r>
          </w:p>
          <w:p>
            <w:pPr>
              <w:pStyle w:val="10"/>
              <w:widowControl/>
              <w:rPr>
                <w:rFonts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  <w:t>②</w:t>
            </w:r>
            <w:r>
              <w:rPr>
                <w:rFonts w:ascii="宋体" w:hAnsi="宋体" w:eastAsia="宋体" w:cs="宋体"/>
                <w:color w:val="auto"/>
                <w:kern w:val="2"/>
                <w:sz w:val="21"/>
                <w:szCs w:val="21"/>
              </w:rPr>
              <w:t>工具提供方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  <w:t>通过信息技术服务管理体系认证（ISO/IEC20000-1:2018）认证，得6分</w:t>
            </w:r>
          </w:p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2、安全配置检查工具：所提供服务的安全服务工具每获1个《计算机软件著作权登记证》，得1分，最多得3分。</w:t>
            </w:r>
          </w:p>
          <w:p>
            <w:pPr>
              <w:spacing w:line="360" w:lineRule="auto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注：以上证书提供复印件加盖公章。 </w:t>
            </w:r>
          </w:p>
        </w:tc>
        <w:tc>
          <w:tcPr>
            <w:tcW w:w="1117" w:type="dxa"/>
            <w:vAlign w:val="center"/>
          </w:tcPr>
          <w:p>
            <w:pPr>
              <w:spacing w:line="360" w:lineRule="auto"/>
              <w:rPr>
                <w:rFonts w:ascii="宋体" w:hAnsi="宋体" w:cs="宋体"/>
                <w:szCs w:val="21"/>
                <w:lang w:val="zh-CN"/>
              </w:rPr>
            </w:pPr>
            <w:r>
              <w:rPr>
                <w:rFonts w:hint="eastAsia" w:ascii="宋体" w:hAnsi="宋体" w:cs="宋体"/>
                <w:szCs w:val="21"/>
                <w:lang w:val="zh-CN"/>
              </w:rPr>
              <w:t>评委打分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673" w:type="dxa"/>
            <w:vAlign w:val="center"/>
          </w:tcPr>
          <w:p>
            <w:pPr>
              <w:pStyle w:val="9"/>
              <w:spacing w:line="360" w:lineRule="auto"/>
              <w:ind w:firstLine="0" w:firstLineChars="0"/>
              <w:jc w:val="center"/>
              <w:rPr>
                <w:rFonts w:ascii="宋体" w:eastAsia="宋体" w:cs="宋体"/>
                <w:sz w:val="21"/>
                <w:szCs w:val="21"/>
              </w:rPr>
            </w:pPr>
            <w:r>
              <w:rPr>
                <w:rFonts w:hint="eastAsia" w:ascii="宋体" w:eastAsia="宋体" w:cs="宋体"/>
                <w:sz w:val="21"/>
                <w:szCs w:val="21"/>
              </w:rPr>
              <w:t>4</w:t>
            </w:r>
          </w:p>
        </w:tc>
        <w:tc>
          <w:tcPr>
            <w:tcW w:w="1212" w:type="dxa"/>
            <w:vAlign w:val="center"/>
          </w:tcPr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安全服务计划</w:t>
            </w:r>
          </w:p>
        </w:tc>
        <w:tc>
          <w:tcPr>
            <w:tcW w:w="787" w:type="dxa"/>
            <w:vAlign w:val="center"/>
          </w:tcPr>
          <w:p>
            <w:pPr>
              <w:spacing w:line="360" w:lineRule="auto"/>
              <w:ind w:firstLine="664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55</w:t>
            </w:r>
          </w:p>
        </w:tc>
        <w:tc>
          <w:tcPr>
            <w:tcW w:w="5476" w:type="dxa"/>
            <w:vAlign w:val="center"/>
          </w:tcPr>
          <w:p>
            <w:pPr>
              <w:spacing w:line="360" w:lineRule="auto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评分标准：</w:t>
            </w:r>
          </w:p>
          <w:p>
            <w:pPr>
              <w:pStyle w:val="3"/>
              <w:spacing w:line="360" w:lineRule="auto"/>
              <w:ind w:right="105"/>
              <w:rPr>
                <w:rFonts w:hAnsi="宋体" w:cs="宋体"/>
              </w:rPr>
            </w:pPr>
            <w:r>
              <w:rPr>
                <w:rFonts w:hint="eastAsia" w:hAnsi="宋体" w:cs="宋体"/>
              </w:rPr>
              <w:t>投标人提供的安全服务计划的科学性，各阶段人力物力投入分配及其保证措施：优秀5分，良好3分，尚可1分。</w:t>
            </w:r>
          </w:p>
        </w:tc>
        <w:tc>
          <w:tcPr>
            <w:tcW w:w="1117" w:type="dxa"/>
            <w:vAlign w:val="center"/>
          </w:tcPr>
          <w:p>
            <w:pPr>
              <w:spacing w:line="360" w:lineRule="auto"/>
              <w:rPr>
                <w:rFonts w:ascii="宋体" w:hAnsi="宋体" w:cs="宋体"/>
                <w:szCs w:val="21"/>
                <w:lang w:val="zh-CN"/>
              </w:rPr>
            </w:pPr>
            <w:r>
              <w:rPr>
                <w:rFonts w:hint="eastAsia" w:ascii="宋体" w:hAnsi="宋体" w:cs="宋体"/>
                <w:szCs w:val="21"/>
                <w:lang w:val="zh-CN"/>
              </w:rPr>
              <w:t>评委打分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8148" w:type="dxa"/>
            <w:gridSpan w:val="4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ind w:firstLine="667"/>
              <w:jc w:val="center"/>
              <w:rPr>
                <w:rFonts w:ascii="宋体" w:hAnsi="宋体" w:cs="宋体"/>
                <w:b/>
                <w:szCs w:val="21"/>
                <w:lang w:val="zh-CN"/>
              </w:rPr>
            </w:pPr>
            <w:r>
              <w:rPr>
                <w:rFonts w:hint="eastAsia" w:ascii="宋体" w:hAnsi="宋体" w:cs="宋体"/>
                <w:b/>
                <w:szCs w:val="21"/>
                <w:lang w:val="zh-CN"/>
              </w:rPr>
              <w:t>三、综合实力部分</w:t>
            </w:r>
          </w:p>
        </w:tc>
        <w:tc>
          <w:tcPr>
            <w:tcW w:w="1117" w:type="dxa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ind w:firstLine="664"/>
              <w:jc w:val="center"/>
              <w:rPr>
                <w:rFonts w:ascii="宋体" w:hAnsi="宋体" w:cs="宋体"/>
                <w:szCs w:val="21"/>
                <w:lang w:val="zh-CN"/>
              </w:rPr>
            </w:pPr>
            <w:r>
              <w:rPr>
                <w:rFonts w:hint="eastAsia" w:ascii="宋体" w:hAnsi="宋体" w:cs="宋体"/>
                <w:szCs w:val="21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673" w:type="dxa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ind w:firstLine="664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zh-CN"/>
              </w:rPr>
              <w:t>序序号</w:t>
            </w:r>
          </w:p>
        </w:tc>
        <w:tc>
          <w:tcPr>
            <w:tcW w:w="1212" w:type="dxa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zh-CN"/>
              </w:rPr>
              <w:t>内容</w:t>
            </w:r>
          </w:p>
        </w:tc>
        <w:tc>
          <w:tcPr>
            <w:tcW w:w="787" w:type="dxa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ind w:firstLine="664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zh-CN"/>
              </w:rPr>
              <w:t>权权重</w:t>
            </w:r>
          </w:p>
        </w:tc>
        <w:tc>
          <w:tcPr>
            <w:tcW w:w="5476" w:type="dxa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宋体"/>
                <w:szCs w:val="21"/>
                <w:lang w:val="zh-CN"/>
              </w:rPr>
            </w:pPr>
            <w:r>
              <w:rPr>
                <w:rFonts w:hint="eastAsia" w:ascii="宋体" w:hAnsi="宋体" w:cs="宋体"/>
                <w:szCs w:val="21"/>
                <w:lang w:val="zh-CN"/>
              </w:rPr>
              <w:t>评分规则</w:t>
            </w:r>
          </w:p>
        </w:tc>
        <w:tc>
          <w:tcPr>
            <w:tcW w:w="1117" w:type="dxa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rPr>
                <w:rFonts w:ascii="宋体" w:hAnsi="宋体" w:cs="宋体"/>
                <w:szCs w:val="21"/>
                <w:lang w:val="zh-CN"/>
              </w:rPr>
            </w:pPr>
            <w:r>
              <w:rPr>
                <w:rFonts w:hint="eastAsia" w:ascii="宋体" w:hAnsi="宋体" w:cs="宋体"/>
                <w:szCs w:val="21"/>
                <w:lang w:val="zh-CN"/>
              </w:rPr>
              <w:t>评分方式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673" w:type="dxa"/>
            <w:vAlign w:val="center"/>
          </w:tcPr>
          <w:p>
            <w:pPr>
              <w:spacing w:line="360" w:lineRule="auto"/>
              <w:ind w:firstLine="664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11</w:t>
            </w:r>
          </w:p>
        </w:tc>
        <w:tc>
          <w:tcPr>
            <w:tcW w:w="1212" w:type="dxa"/>
            <w:vAlign w:val="center"/>
          </w:tcPr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企业资质情况</w:t>
            </w:r>
          </w:p>
        </w:tc>
        <w:tc>
          <w:tcPr>
            <w:tcW w:w="787" w:type="dxa"/>
            <w:vAlign w:val="center"/>
          </w:tcPr>
          <w:p>
            <w:pPr>
              <w:spacing w:line="360" w:lineRule="auto"/>
              <w:ind w:firstLine="664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120</w:t>
            </w:r>
          </w:p>
        </w:tc>
        <w:tc>
          <w:tcPr>
            <w:tcW w:w="5476" w:type="dxa"/>
            <w:vAlign w:val="center"/>
          </w:tcPr>
          <w:p>
            <w:pPr>
              <w:pStyle w:val="4"/>
              <w:pBdr>
                <w:bottom w:val="none" w:color="auto" w:sz="0" w:space="0"/>
              </w:pBdr>
              <w:tabs>
                <w:tab w:val="left" w:pos="420"/>
              </w:tabs>
              <w:spacing w:line="360" w:lineRule="auto"/>
              <w:jc w:val="left"/>
              <w:rPr>
                <w:rFonts w:ascii="宋体" w:hAnsi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</w:rPr>
              <w:t>评分标准：</w:t>
            </w:r>
          </w:p>
          <w:p>
            <w:pPr>
              <w:pStyle w:val="4"/>
              <w:pBdr>
                <w:bottom w:val="none" w:color="auto" w:sz="0" w:space="0"/>
              </w:pBdr>
              <w:tabs>
                <w:tab w:val="left" w:pos="420"/>
              </w:tabs>
              <w:spacing w:line="360" w:lineRule="auto"/>
              <w:jc w:val="both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资质证书要求投标厂商具有。</w:t>
            </w:r>
          </w:p>
          <w:p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、</w:t>
            </w:r>
            <w:r>
              <w:rPr>
                <w:rFonts w:hint="eastAsia" w:ascii="宋体" w:hAnsi="宋体" w:cs="宋体"/>
                <w:szCs w:val="21"/>
              </w:rPr>
              <w:t>应通过ISO14001的环境管理体系认证，认证范围包括软件开发，信息系统集成及相关管理活动。</w:t>
            </w:r>
            <w:r>
              <w:rPr>
                <w:rFonts w:ascii="宋体" w:hAnsi="宋体" w:cs="宋体"/>
                <w:szCs w:val="21"/>
              </w:rPr>
              <w:t>最高</w:t>
            </w:r>
            <w:r>
              <w:rPr>
                <w:rFonts w:hint="eastAsia" w:ascii="宋体" w:hAnsi="宋体" w:cs="宋体"/>
                <w:szCs w:val="21"/>
              </w:rPr>
              <w:t>得5分。</w:t>
            </w:r>
          </w:p>
          <w:p>
            <w:pPr>
              <w:pStyle w:val="4"/>
              <w:pBdr>
                <w:bottom w:val="none" w:color="auto" w:sz="0" w:space="0"/>
              </w:pBdr>
              <w:tabs>
                <w:tab w:val="left" w:pos="420"/>
              </w:tabs>
              <w:spacing w:line="360" w:lineRule="auto"/>
              <w:jc w:val="both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2</w:t>
            </w:r>
            <w:r>
              <w:rPr>
                <w:rFonts w:ascii="宋体" w:hAnsi="宋体" w:cs="宋体"/>
                <w:sz w:val="21"/>
                <w:szCs w:val="21"/>
              </w:rPr>
              <w:t>、</w:t>
            </w:r>
            <w:r>
              <w:rPr>
                <w:rFonts w:hint="eastAsia" w:ascii="宋体" w:hAnsi="宋体" w:cs="宋体"/>
                <w:sz w:val="21"/>
                <w:szCs w:val="21"/>
              </w:rPr>
              <w:t>应通过ISO9001的质量管理体系认证，认证范围包括软件开发，信息系统集成及服务。</w:t>
            </w:r>
            <w:r>
              <w:rPr>
                <w:rFonts w:ascii="宋体" w:hAnsi="宋体" w:cs="宋体"/>
                <w:sz w:val="21"/>
                <w:szCs w:val="21"/>
              </w:rPr>
              <w:t>最高</w:t>
            </w:r>
            <w:r>
              <w:rPr>
                <w:rFonts w:hint="eastAsia" w:ascii="宋体" w:hAnsi="宋体" w:cs="宋体"/>
                <w:sz w:val="21"/>
                <w:szCs w:val="21"/>
              </w:rPr>
              <w:t>得5分。</w:t>
            </w:r>
          </w:p>
          <w:p>
            <w:pPr>
              <w:pStyle w:val="4"/>
              <w:pBdr>
                <w:bottom w:val="none" w:color="auto" w:sz="0" w:space="0"/>
              </w:pBdr>
              <w:tabs>
                <w:tab w:val="left" w:pos="420"/>
              </w:tabs>
              <w:spacing w:line="360" w:lineRule="auto"/>
              <w:jc w:val="both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</w:t>
            </w:r>
            <w:r>
              <w:rPr>
                <w:rFonts w:ascii="宋体" w:hAnsi="宋体" w:cs="宋体"/>
                <w:szCs w:val="21"/>
              </w:rPr>
              <w:t>、</w:t>
            </w:r>
            <w:r>
              <w:rPr>
                <w:rFonts w:hint="eastAsia" w:ascii="宋体" w:hAnsi="宋体" w:cs="宋体"/>
                <w:sz w:val="21"/>
                <w:szCs w:val="21"/>
              </w:rPr>
              <w:t>应通过ISO45001的职业健康安全管理体系认证，认证范围包括软件开发，信息系统集成及相关管理活动。</w:t>
            </w:r>
            <w:r>
              <w:rPr>
                <w:rFonts w:ascii="宋体" w:hAnsi="宋体" w:cs="宋体"/>
                <w:sz w:val="21"/>
                <w:szCs w:val="21"/>
              </w:rPr>
              <w:t>最高</w:t>
            </w:r>
            <w:r>
              <w:rPr>
                <w:rFonts w:hint="eastAsia" w:ascii="宋体" w:hAnsi="宋体" w:cs="宋体"/>
                <w:sz w:val="21"/>
                <w:szCs w:val="21"/>
              </w:rPr>
              <w:t>得5分。</w:t>
            </w:r>
          </w:p>
          <w:p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  <w:p>
            <w:pPr>
              <w:pStyle w:val="4"/>
              <w:pBdr>
                <w:bottom w:val="none" w:color="auto" w:sz="0" w:space="0"/>
              </w:pBdr>
              <w:tabs>
                <w:tab w:val="left" w:pos="420"/>
              </w:tabs>
              <w:spacing w:line="360" w:lineRule="auto"/>
              <w:jc w:val="both"/>
              <w:rPr>
                <w:rFonts w:ascii="宋体" w:hAnsi="宋体" w:cs="宋体"/>
                <w:sz w:val="21"/>
                <w:szCs w:val="21"/>
                <w:highlight w:val="yellow"/>
              </w:rPr>
            </w:pPr>
            <w:r>
              <w:rPr>
                <w:rFonts w:ascii="宋体" w:hAnsi="宋体" w:cs="宋体"/>
                <w:sz w:val="21"/>
                <w:szCs w:val="21"/>
              </w:rPr>
              <w:t>4、</w:t>
            </w:r>
            <w:r>
              <w:rPr>
                <w:rFonts w:hint="eastAsia" w:ascii="宋体" w:hAnsi="宋体" w:cs="宋体"/>
                <w:sz w:val="21"/>
                <w:szCs w:val="21"/>
              </w:rPr>
              <w:t>具有高新企业证书。</w:t>
            </w:r>
            <w:r>
              <w:rPr>
                <w:rFonts w:ascii="宋体" w:hAnsi="宋体" w:cs="宋体"/>
                <w:sz w:val="21"/>
                <w:szCs w:val="21"/>
              </w:rPr>
              <w:t>最高</w:t>
            </w:r>
            <w:r>
              <w:rPr>
                <w:rFonts w:hint="eastAsia" w:ascii="宋体" w:hAnsi="宋体" w:cs="宋体"/>
                <w:sz w:val="21"/>
                <w:szCs w:val="21"/>
              </w:rPr>
              <w:t>得5分。</w:t>
            </w:r>
          </w:p>
          <w:p>
            <w:pPr>
              <w:spacing w:line="360" w:lineRule="auto"/>
              <w:ind w:firstLine="664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以上4项累计计分，满分为20分。</w:t>
            </w:r>
          </w:p>
          <w:p>
            <w:pPr>
              <w:pStyle w:val="4"/>
              <w:pBdr>
                <w:bottom w:val="none" w:color="auto" w:sz="0" w:space="0"/>
              </w:pBdr>
              <w:tabs>
                <w:tab w:val="left" w:pos="420"/>
              </w:tabs>
              <w:spacing w:line="360" w:lineRule="auto"/>
              <w:jc w:val="left"/>
              <w:rPr>
                <w:rFonts w:ascii="宋体" w:hAnsi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</w:rPr>
              <w:t>证明文件：</w:t>
            </w:r>
          </w:p>
          <w:p>
            <w:pPr>
              <w:spacing w:line="360" w:lineRule="auto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要求提供有效证书复印件或扫描件加盖公章（原件备查），不提供不得分。</w:t>
            </w:r>
          </w:p>
        </w:tc>
        <w:tc>
          <w:tcPr>
            <w:tcW w:w="1117" w:type="dxa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rPr>
                <w:rFonts w:ascii="宋体" w:hAnsi="宋体" w:cs="宋体"/>
                <w:szCs w:val="21"/>
                <w:lang w:val="zh-CN"/>
              </w:rPr>
            </w:pPr>
            <w:r>
              <w:rPr>
                <w:rFonts w:hint="eastAsia" w:ascii="宋体" w:hAnsi="宋体" w:cs="宋体"/>
                <w:szCs w:val="21"/>
                <w:lang w:val="zh-CN"/>
              </w:rPr>
              <w:t>评委打分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673" w:type="dxa"/>
            <w:vAlign w:val="center"/>
          </w:tcPr>
          <w:p>
            <w:pPr>
              <w:spacing w:line="360" w:lineRule="auto"/>
              <w:ind w:firstLine="664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22</w:t>
            </w:r>
          </w:p>
        </w:tc>
        <w:tc>
          <w:tcPr>
            <w:tcW w:w="1212" w:type="dxa"/>
            <w:vAlign w:val="center"/>
          </w:tcPr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同类业绩</w:t>
            </w:r>
          </w:p>
        </w:tc>
        <w:tc>
          <w:tcPr>
            <w:tcW w:w="787" w:type="dxa"/>
            <w:vAlign w:val="center"/>
          </w:tcPr>
          <w:p>
            <w:pPr>
              <w:spacing w:line="360" w:lineRule="auto"/>
              <w:ind w:firstLine="664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412</w:t>
            </w:r>
          </w:p>
        </w:tc>
        <w:tc>
          <w:tcPr>
            <w:tcW w:w="5476" w:type="dxa"/>
            <w:vAlign w:val="center"/>
          </w:tcPr>
          <w:p>
            <w:pPr>
              <w:pStyle w:val="4"/>
              <w:pBdr>
                <w:bottom w:val="none" w:color="auto" w:sz="0" w:space="0"/>
              </w:pBdr>
              <w:tabs>
                <w:tab w:val="left" w:pos="420"/>
              </w:tabs>
              <w:spacing w:line="360" w:lineRule="auto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 w:val="21"/>
                <w:szCs w:val="21"/>
              </w:rPr>
              <w:t>评</w:t>
            </w:r>
            <w:r>
              <w:rPr>
                <w:rFonts w:hint="eastAsia" w:ascii="宋体" w:hAnsi="宋体" w:cs="宋体"/>
                <w:sz w:val="21"/>
                <w:szCs w:val="21"/>
              </w:rPr>
              <w:t>分标准：投标人近三年从事相关行业或者同类项目的实际共工作经验，提供不少于4个相关项目证明文件，每项得3分，最高12分。</w:t>
            </w:r>
          </w:p>
          <w:p>
            <w:pPr>
              <w:pStyle w:val="4"/>
              <w:pBdr>
                <w:bottom w:val="none" w:color="auto" w:sz="0" w:space="0"/>
              </w:pBdr>
              <w:tabs>
                <w:tab w:val="left" w:pos="420"/>
              </w:tabs>
              <w:spacing w:line="360" w:lineRule="auto"/>
              <w:jc w:val="left"/>
              <w:rPr>
                <w:rFonts w:ascii="宋体" w:hAnsi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</w:rPr>
              <w:t>证明文件：</w:t>
            </w:r>
          </w:p>
          <w:p>
            <w:pPr>
              <w:spacing w:line="360" w:lineRule="auto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要求提供</w:t>
            </w:r>
            <w:r>
              <w:rPr>
                <w:rFonts w:ascii="宋体" w:hAnsi="宋体" w:cs="宋体"/>
                <w:szCs w:val="21"/>
              </w:rPr>
              <w:t>原件复印件</w:t>
            </w:r>
            <w:r>
              <w:rPr>
                <w:rFonts w:hint="eastAsia" w:ascii="宋体" w:hAnsi="宋体" w:cs="宋体"/>
                <w:szCs w:val="21"/>
              </w:rPr>
              <w:t>加盖公章，否则不得分</w:t>
            </w:r>
          </w:p>
        </w:tc>
        <w:tc>
          <w:tcPr>
            <w:tcW w:w="1117" w:type="dxa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rPr>
                <w:rFonts w:ascii="宋体" w:hAnsi="宋体" w:cs="宋体"/>
                <w:szCs w:val="21"/>
                <w:lang w:val="zh-CN"/>
              </w:rPr>
            </w:pPr>
            <w:r>
              <w:rPr>
                <w:rFonts w:hint="eastAsia" w:ascii="宋体" w:hAnsi="宋体" w:cs="宋体"/>
                <w:szCs w:val="21"/>
                <w:lang w:val="zh-CN"/>
              </w:rPr>
              <w:t>评委打分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673" w:type="dxa"/>
            <w:vAlign w:val="center"/>
          </w:tcPr>
          <w:p>
            <w:pPr>
              <w:pStyle w:val="9"/>
              <w:spacing w:line="360" w:lineRule="auto"/>
              <w:ind w:firstLine="0" w:firstLineChars="0"/>
              <w:jc w:val="center"/>
              <w:rPr>
                <w:rFonts w:ascii="宋体" w:eastAsia="宋体" w:cs="宋体"/>
                <w:sz w:val="21"/>
                <w:szCs w:val="21"/>
              </w:rPr>
            </w:pPr>
            <w:r>
              <w:rPr>
                <w:rFonts w:hint="eastAsia" w:ascii="宋体" w:eastAsia="宋体" w:cs="宋体"/>
                <w:sz w:val="21"/>
                <w:szCs w:val="21"/>
              </w:rPr>
              <w:t>3</w:t>
            </w:r>
          </w:p>
        </w:tc>
        <w:tc>
          <w:tcPr>
            <w:tcW w:w="1212" w:type="dxa"/>
            <w:vAlign w:val="center"/>
          </w:tcPr>
          <w:p>
            <w:pPr>
              <w:spacing w:line="360" w:lineRule="auto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GB"/>
              </w:rPr>
              <w:t>安全服务技术团队力量</w:t>
            </w:r>
          </w:p>
        </w:tc>
        <w:tc>
          <w:tcPr>
            <w:tcW w:w="787" w:type="dxa"/>
            <w:vAlign w:val="center"/>
          </w:tcPr>
          <w:p>
            <w:pPr>
              <w:spacing w:line="360" w:lineRule="auto"/>
              <w:ind w:firstLine="664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58</w:t>
            </w:r>
          </w:p>
        </w:tc>
        <w:tc>
          <w:tcPr>
            <w:tcW w:w="5476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1、项目经理（1人）：熟悉各类信息安全体系架构，</w:t>
            </w:r>
            <w:r>
              <w:rPr>
                <w:rFonts w:hint="eastAsia" w:ascii="宋体" w:hAnsi="宋体" w:cs="宋体"/>
                <w:kern w:val="0"/>
                <w:szCs w:val="21"/>
              </w:rPr>
              <w:t>为计算机专业的基础上，本科以上学历，</w:t>
            </w:r>
            <w:r>
              <w:rPr>
                <w:rFonts w:ascii="宋体" w:hAnsi="宋体" w:cs="宋体"/>
                <w:kern w:val="0"/>
                <w:szCs w:val="21"/>
              </w:rPr>
              <w:t>具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>备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CISSP、PMP、CCSP、CISAW、CISP中的至少四个证书，并提供证书复印件，得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>3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分；</w:t>
            </w:r>
            <w:r>
              <w:rPr>
                <w:rFonts w:hint="eastAsia" w:ascii="宋体" w:hAnsi="宋体" w:cs="宋体"/>
                <w:kern w:val="0"/>
                <w:szCs w:val="21"/>
              </w:rPr>
              <w:t>具有</w:t>
            </w:r>
            <w:r>
              <w:rPr>
                <w:rFonts w:ascii="宋体" w:hAnsi="宋体" w:cs="宋体"/>
                <w:kern w:val="0"/>
                <w:szCs w:val="21"/>
              </w:rPr>
              <w:t>5-</w:t>
            </w:r>
            <w:r>
              <w:rPr>
                <w:rFonts w:hint="eastAsia" w:ascii="宋体" w:hAnsi="宋体" w:cs="宋体"/>
                <w:kern w:val="0"/>
                <w:szCs w:val="21"/>
              </w:rPr>
              <w:t>10年或以上网络安全类工作经验的得1分。</w:t>
            </w:r>
          </w:p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2、</w:t>
            </w:r>
            <w:r>
              <w:rPr>
                <w:rFonts w:hint="eastAsia" w:ascii="宋体" w:hAnsi="宋体" w:cs="宋体"/>
                <w:szCs w:val="21"/>
                <w:lang w:val="en-GB"/>
              </w:rPr>
              <w:t>安全服务技术团队：</w:t>
            </w:r>
            <w:r>
              <w:rPr>
                <w:rFonts w:hint="eastAsia" w:ascii="宋体" w:hAnsi="宋体" w:cs="宋体"/>
                <w:szCs w:val="21"/>
              </w:rPr>
              <w:t>提供投标人在广东省内进行信息安全服务的，并获得了CISSP、CISP、CISA等其中一项资质证书的人员清单，满足要求条件的人数达15人以上得3分；满足要求条件的人数达10人-14人以上得1分；满足要求条件的人数10人以下得0分。</w:t>
            </w:r>
          </w:p>
          <w:p>
            <w:pPr>
              <w:spacing w:line="360" w:lineRule="auto"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证明文件：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需提供项目经理学历证书复印件或扫描件并加盖公章（原件备查），聘用合同，可为单份或多份合同复印件或扫描件并加盖公章（原件备查），能证明网络安全类岗位工作经验；服务团队成员需提供有效资质证书复印件或扫描件；</w:t>
            </w:r>
            <w:r>
              <w:rPr>
                <w:rFonts w:hint="eastAsia" w:ascii="宋体" w:hAnsi="宋体" w:cs="宋体"/>
                <w:szCs w:val="21"/>
              </w:rPr>
              <w:t>提供上述人员在本公司任职的证明材料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。</w:t>
            </w:r>
          </w:p>
        </w:tc>
        <w:tc>
          <w:tcPr>
            <w:tcW w:w="1117" w:type="dxa"/>
            <w:vAlign w:val="center"/>
          </w:tcPr>
          <w:p>
            <w:pPr>
              <w:pStyle w:val="9"/>
              <w:spacing w:line="360" w:lineRule="auto"/>
              <w:ind w:firstLine="0" w:firstLineChars="0"/>
              <w:jc w:val="center"/>
              <w:rPr>
                <w:rFonts w:ascii="宋体" w:eastAsia="宋体" w:cs="宋体"/>
                <w:sz w:val="21"/>
                <w:szCs w:val="21"/>
              </w:rPr>
            </w:pPr>
            <w:r>
              <w:rPr>
                <w:rFonts w:hint="eastAsia" w:ascii="宋体" w:eastAsia="宋体" w:cs="宋体"/>
                <w:sz w:val="21"/>
                <w:szCs w:val="21"/>
                <w:lang w:val="zh-CN"/>
              </w:rPr>
              <w:t>评委打分</w:t>
            </w:r>
          </w:p>
        </w:tc>
      </w:tr>
    </w:tbl>
    <w:p/>
    <w:bookmarkEnd w:id="0"/>
    <w:bookmarkEnd w:id="1"/>
    <w:bookmarkEnd w:id="2"/>
    <w:p>
      <w:pPr>
        <w:pStyle w:val="2"/>
        <w:spacing w:before="156" w:beforeLines="50" w:line="360" w:lineRule="auto"/>
        <w:ind w:firstLine="0"/>
        <w:rPr>
          <w:rFonts w:hint="eastAsia" w:ascii="宋体" w:hAnsi="宋体" w:eastAsia="宋体" w:cs="仿宋"/>
          <w:color w:val="000000"/>
          <w:szCs w:val="21"/>
          <w:lang w:val="en-US" w:eastAsia="zh-CN"/>
        </w:rPr>
      </w:pPr>
      <w:r>
        <w:rPr>
          <w:rFonts w:hint="eastAsia" w:ascii="宋体" w:hAnsi="宋体" w:cs="仿宋"/>
          <w:color w:val="000000"/>
          <w:szCs w:val="21"/>
        </w:rPr>
        <w:t>注：各评委按规定的范围内进行量化打分，并统计总分</w:t>
      </w:r>
      <w:r>
        <w:rPr>
          <w:rFonts w:hint="eastAsia" w:ascii="宋体" w:hAnsi="宋体" w:cs="仿宋"/>
          <w:color w:val="000000"/>
          <w:szCs w:val="21"/>
          <w:lang w:eastAsia="zh-CN"/>
        </w:rPr>
        <w:t>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Helvetica Neue">
    <w:altName w:val="Times New Roman"/>
    <w:panose1 w:val="00000000000000000000"/>
    <w:charset w:val="00"/>
    <w:family w:val="auto"/>
    <w:pitch w:val="default"/>
    <w:sig w:usb0="00000000" w:usb1="00000000" w:usb2="00000010" w:usb3="00000000" w:csb0="0000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2ZmMyZmI2NmViMjRjNGY0ZWQ1YTc4ZmE0YzU2N2QifQ=="/>
  </w:docVars>
  <w:rsids>
    <w:rsidRoot w:val="00CF4381"/>
    <w:rsid w:val="0001332D"/>
    <w:rsid w:val="001C182B"/>
    <w:rsid w:val="003235E6"/>
    <w:rsid w:val="00427B21"/>
    <w:rsid w:val="00452D15"/>
    <w:rsid w:val="00466FB8"/>
    <w:rsid w:val="00511C5F"/>
    <w:rsid w:val="00886516"/>
    <w:rsid w:val="00AD546A"/>
    <w:rsid w:val="00C471A3"/>
    <w:rsid w:val="00CF4381"/>
    <w:rsid w:val="00EA1871"/>
    <w:rsid w:val="00F406FF"/>
    <w:rsid w:val="3B6E1F7A"/>
    <w:rsid w:val="7C32323F"/>
    <w:rsid w:val="F77D55CA"/>
    <w:rsid w:val="FFEFF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iPriority="99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szCs w:val="20"/>
    </w:rPr>
  </w:style>
  <w:style w:type="paragraph" w:styleId="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4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color w:val="000000"/>
      <w:kern w:val="0"/>
      <w:sz w:val="24"/>
    </w:rPr>
  </w:style>
  <w:style w:type="character" w:styleId="8">
    <w:name w:val="Strong"/>
    <w:qFormat/>
    <w:uiPriority w:val="0"/>
    <w:rPr>
      <w:b/>
      <w:bCs/>
    </w:rPr>
  </w:style>
  <w:style w:type="paragraph" w:customStyle="1" w:styleId="9">
    <w:name w:val="正文缩进2格"/>
    <w:basedOn w:val="1"/>
    <w:qFormat/>
    <w:uiPriority w:val="0"/>
    <w:pPr>
      <w:spacing w:line="600" w:lineRule="exact"/>
      <w:ind w:firstLine="206" w:firstLineChars="206"/>
    </w:pPr>
    <w:rPr>
      <w:rFonts w:ascii="仿宋_GB2312" w:hAnsi="宋体" w:eastAsia="仿宋_GB2312"/>
      <w:sz w:val="31"/>
      <w:szCs w:val="28"/>
    </w:rPr>
  </w:style>
  <w:style w:type="paragraph" w:customStyle="1" w:styleId="10">
    <w:name w:val="p1"/>
    <w:basedOn w:val="1"/>
    <w:qFormat/>
    <w:uiPriority w:val="0"/>
    <w:pPr>
      <w:spacing w:line="380" w:lineRule="atLeast"/>
      <w:jc w:val="left"/>
    </w:pPr>
    <w:rPr>
      <w:rFonts w:ascii="Helvetica Neue" w:hAnsi="Helvetica Neue" w:eastAsia="Helvetica Neue"/>
      <w:color w:val="000000"/>
      <w:kern w:val="0"/>
      <w:sz w:val="26"/>
      <w:szCs w:val="2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2236</Words>
  <Characters>2359</Characters>
  <Lines>17</Lines>
  <Paragraphs>5</Paragraphs>
  <TotalTime>46</TotalTime>
  <ScaleCrop>false</ScaleCrop>
  <LinksUpToDate>false</LinksUpToDate>
  <CharactersWithSpaces>2361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2021-04-29T17:24:00Z</dcterms:created>
  <dc:creator>Administrator</dc:creator>
  <cp:lastModifiedBy>ONE</cp:lastModifiedBy>
  <dcterms:modified xsi:type="dcterms:W3CDTF">2023-06-15T09:12:40Z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9DB00AB4F0C6416099DC6285C3522085_13</vt:lpwstr>
  </property>
  <property fmtid="{D5CDD505-2E9C-101B-9397-08002B2CF9AE}" pid="3" name="KSOProductBuildVer">
    <vt:lpwstr>2052-11.1.0.14309</vt:lpwstr>
  </property>
</Properties>
</file>