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昆明市呈贡区统计局部门整体支出绩效</w:t>
      </w:r>
      <w:r>
        <w:rPr>
          <w:rFonts w:hint="eastAsia"/>
          <w:b/>
          <w:bCs/>
          <w:sz w:val="44"/>
          <w:szCs w:val="44"/>
          <w:lang w:val="en-US" w:eastAsia="zh-CN"/>
        </w:rPr>
        <w:t xml:space="preserve">  </w:t>
      </w:r>
      <w:r>
        <w:rPr>
          <w:rFonts w:hint="eastAsia"/>
          <w:b/>
          <w:bCs/>
          <w:sz w:val="44"/>
          <w:szCs w:val="44"/>
          <w:lang w:eastAsia="zh-CN"/>
        </w:rPr>
        <w:t>评价报告</w:t>
      </w:r>
    </w:p>
    <w:p>
      <w:pPr>
        <w:numPr>
          <w:ilvl w:val="0"/>
          <w:numId w:val="0"/>
        </w:numPr>
        <w:ind w:firstLine="643" w:firstLineChars="200"/>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一、基本情况</w:t>
      </w:r>
    </w:p>
    <w:p>
      <w:pPr>
        <w:snapToGrid w:val="0"/>
        <w:spacing w:line="560" w:lineRule="exact"/>
        <w:ind w:firstLine="640" w:firstLineChars="200"/>
        <w:rPr>
          <w:rFonts w:hint="eastAsia" w:ascii="楷体_GB2312" w:hAnsi="仿宋" w:eastAsia="楷体_GB2312"/>
          <w:b w:val="0"/>
          <w:bCs/>
          <w:sz w:val="32"/>
          <w:szCs w:val="32"/>
        </w:rPr>
      </w:pPr>
      <w:r>
        <w:rPr>
          <w:rFonts w:hint="eastAsia" w:ascii="楷体_GB2312" w:hAnsi="仿宋" w:eastAsia="楷体_GB2312"/>
          <w:b w:val="0"/>
          <w:bCs/>
          <w:sz w:val="32"/>
          <w:szCs w:val="32"/>
        </w:rPr>
        <w:t>（一）区统计局主要职能职责</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1、负责组织、领导和协调全县统计工作，承担确保统计数据真实、准确、及时的责任；建立、健全并管理全区经济社会运行宏观数据库。</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2、制定并组织实施统计改革和统计现代化建设规划；建立和完善反映经济社会发展的统计制度、统计方法、统计指标和统计管理体系；组织实施国民经济核算制度和投入产出调查，汇编提供国民经济核算资料。</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3、会同有关部门组织实施人口、经济、农业普查及专项调查工作；汇总、整理和提供有关普查和调查方面的统计数据并进行统计分析；协助做好妇女儿童发展规划监测评估、社会监测、统计执法。</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4、组织实施农林牧渔业、工业、建筑业、批发和零售业、住宿和餐饮业、房地产业、租赁和商务服务业、居民服务和其他服务业、文化体育和娱乐业以及装卸搬运和其他服务业、仓储业、计算机服务业、软件业、科技交流和推广服务业、社会福利业等统计调查；收集、汇总、整理和提供有关调查的统计调查数据；综合整理和提供地质勘查、旅游、交通运输、邮政、教育、卫生、社会保障、公共事业等全区性基本统计数据。</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5、组织实施能源、投资、消费、收入、科技、人口、劳动力、社会发展基本情况、环境基本状况等统计调查；收集、汇总、整理和提供有关调查的统计数据；综合整理和提供全区性基本统计数据。</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6、组织全区各部门的经济、社会、科技和资源环境等统计调查；统一核定、管理、公布全县性基本统计资料；定期发布全区国民经济和社会发展情况的统计信息。</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7、对国民经济、社会发展、科技进步和资源环境等情况进行统计分析、统计预测和统计监督；向区委、区政府及有关部门提供统计信息和咨询服务。</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8、依法审批或备案部门统计和民间统计调查项目；指导专业统计基础工作和统计基层业务基础建设；建立健全统计数据质量审核、监控和评估制度。</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9、负责全区统计信息自动化系统和统计数据系统建设，实施统计数据联网直报。</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10、会同有关部门组织和管理统计从业资格考试工作；组织并管理统计科学研究、统计教育、统计干部培训工作。</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11、收集、整理各地基本统计资料，并进行对比、分析和研究，开展统计工作方面的资料交换。</w:t>
      </w:r>
    </w:p>
    <w:p>
      <w:pPr>
        <w:spacing w:line="56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12、承办区委、区政府和上级机关交办的其他事项。</w:t>
      </w:r>
    </w:p>
    <w:p>
      <w:pPr>
        <w:snapToGrid w:val="0"/>
        <w:spacing w:line="560"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（二）区统计局2017年机构</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rPr>
        <w:t>人员情况</w:t>
      </w:r>
    </w:p>
    <w:p>
      <w:pPr>
        <w:numPr>
          <w:ilvl w:val="0"/>
          <w:numId w:val="0"/>
        </w:numPr>
        <w:snapToGrid w:val="0"/>
        <w:spacing w:line="560" w:lineRule="exact"/>
        <w:ind w:firstLine="642"/>
        <w:rPr>
          <w:rFonts w:hint="eastAsia" w:ascii="仿宋_GB2312" w:hAnsi="仿宋" w:eastAsia="仿宋_GB2312"/>
          <w:sz w:val="32"/>
          <w:szCs w:val="32"/>
          <w:lang w:val="en-US" w:eastAsia="zh-CN"/>
        </w:rPr>
      </w:pPr>
      <w:r>
        <w:rPr>
          <w:rFonts w:hint="eastAsia" w:ascii="仿宋_GB2312" w:hAnsi="仿宋" w:eastAsia="仿宋_GB2312"/>
          <w:sz w:val="32"/>
          <w:szCs w:val="32"/>
        </w:rPr>
        <w:t>2017年昆明市呈贡区统计局内设办公室、建设统计科、工贸科、县域监测科共4个内设科室，下属7个事业单位，分别为：昆明市呈贡区经济调查队、昆明市呈贡区龙城街道统计站、昆明市呈贡区洛龙街道统计站、昆明市呈贡区乌龙街道统计站、昆明市呈贡区吴家营街道统计站、昆明市呈贡区斗南街道统计站、昆明市呈贡区雨花街道统计站。</w:t>
      </w:r>
      <w:r>
        <w:rPr>
          <w:rFonts w:hint="eastAsia" w:ascii="仿宋_GB2312" w:eastAsia="仿宋_GB2312"/>
          <w:sz w:val="32"/>
          <w:szCs w:val="32"/>
        </w:rPr>
        <w:t>在职人员编制31人，其中：行政编制7人，事业编制24人。在职实有31人，退休人员4人。</w:t>
      </w:r>
      <w:r>
        <w:rPr>
          <w:rFonts w:hint="eastAsia" w:ascii="仿宋_GB2312" w:hAnsi="仿宋" w:eastAsia="仿宋_GB2312"/>
          <w:sz w:val="32"/>
          <w:szCs w:val="32"/>
        </w:rPr>
        <w:t>2017年8月区统计局1名提前退休行政工人正式办理退休手续，区统计局下属事业单位（昆明市呈贡区经济调查队）调出1名事业人员</w:t>
      </w:r>
      <w:r>
        <w:rPr>
          <w:rFonts w:hint="eastAsia" w:ascii="仿宋_GB2312" w:hAnsi="仿宋" w:eastAsia="仿宋_GB2312"/>
          <w:sz w:val="32"/>
          <w:szCs w:val="32"/>
          <w:lang w:eastAsia="zh-CN"/>
        </w:rPr>
        <w:t>，（昆明市呈贡区经济调查队）辞职</w:t>
      </w:r>
      <w:r>
        <w:rPr>
          <w:rFonts w:hint="eastAsia" w:ascii="仿宋_GB2312" w:hAnsi="仿宋" w:eastAsia="仿宋_GB2312"/>
          <w:sz w:val="32"/>
          <w:szCs w:val="32"/>
          <w:lang w:val="en-US" w:eastAsia="zh-CN"/>
        </w:rPr>
        <w:t>1名事业人员。</w:t>
      </w:r>
      <w:r>
        <w:rPr>
          <w:rFonts w:hint="eastAsia" w:ascii="仿宋_GB2312" w:hAnsi="仿宋" w:eastAsia="仿宋_GB2312"/>
          <w:sz w:val="32"/>
          <w:szCs w:val="32"/>
        </w:rPr>
        <w:t>2017年区统计局通过事业单位招考录用2名事业人员到经济调查队工作</w:t>
      </w:r>
      <w:r>
        <w:rPr>
          <w:rFonts w:hint="eastAsia" w:ascii="仿宋_GB2312" w:hAnsi="仿宋" w:eastAsia="仿宋_GB2312"/>
          <w:sz w:val="32"/>
          <w:szCs w:val="32"/>
          <w:lang w:eastAsia="zh-CN"/>
        </w:rPr>
        <w:t>，调入公务员</w:t>
      </w:r>
      <w:r>
        <w:rPr>
          <w:rFonts w:hint="eastAsia" w:ascii="仿宋_GB2312" w:hAnsi="仿宋" w:eastAsia="仿宋_GB2312"/>
          <w:sz w:val="32"/>
          <w:szCs w:val="32"/>
          <w:lang w:val="en-US" w:eastAsia="zh-CN"/>
        </w:rPr>
        <w:t>1名到办公室工作。</w:t>
      </w:r>
    </w:p>
    <w:p>
      <w:pPr>
        <w:numPr>
          <w:ilvl w:val="0"/>
          <w:numId w:val="0"/>
        </w:numPr>
        <w:snapToGrid w:val="0"/>
        <w:spacing w:line="560"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val="en-US" w:eastAsia="zh-CN"/>
        </w:rPr>
        <w:t>(三)</w:t>
      </w:r>
      <w:r>
        <w:rPr>
          <w:rFonts w:hint="eastAsia" w:ascii="楷体_GB2312" w:hAnsi="楷体_GB2312" w:eastAsia="楷体_GB2312" w:cs="楷体_GB2312"/>
          <w:b w:val="0"/>
          <w:bCs/>
          <w:sz w:val="32"/>
          <w:szCs w:val="32"/>
        </w:rPr>
        <w:t>收入支出预算安排</w:t>
      </w:r>
      <w:r>
        <w:rPr>
          <w:rFonts w:hint="eastAsia" w:ascii="楷体_GB2312" w:hAnsi="楷体_GB2312" w:eastAsia="楷体_GB2312" w:cs="楷体_GB2312"/>
          <w:b w:val="0"/>
          <w:bCs/>
          <w:sz w:val="32"/>
          <w:szCs w:val="32"/>
          <w:lang w:eastAsia="zh-CN"/>
        </w:rPr>
        <w:t>、执行、结余</w:t>
      </w:r>
      <w:r>
        <w:rPr>
          <w:rFonts w:hint="eastAsia" w:ascii="楷体_GB2312" w:hAnsi="楷体_GB2312" w:eastAsia="楷体_GB2312" w:cs="楷体_GB2312"/>
          <w:b w:val="0"/>
          <w:bCs/>
          <w:sz w:val="32"/>
          <w:szCs w:val="32"/>
        </w:rPr>
        <w:t>情况</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2017年昆明市呈贡区统计局年初预算6895333元，其中基本支出预算5717743元，项目支出预算1177590元。今年财政部门实际拨款7997014.1元，其中：基本支出收入6321676.69元（行政运行收入1846096.07元、事业运行收入3610720.98元，培训费收入8384元，机关事业单位养老保险收入445918.64元，住房公积金收入410557元），占总收入79.05%，项目经费1675337.41元（专项普查收入174000元，，统计抽样调查收入760538.41元，其他统计事物收入670799元，其他农林水收入20000元，市场监测及信息管理收入50000元）项目经费占总收入20.95%，与财政拨入吻合。</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2017年经费支出为7990224.66元，其中：基本支出收入6294887.25元（行政运行支出1846096.07元、事业运行支出3610720.98元，培训费支出8384元，机关事业单位养老保险支出419129.2元，住房公积金支出410557元），占总支出78.78%，项目经费1695337.41元（专项普查支出174000元，统计抽样调查支出760538.41元，其他统计事物支出670799元，其他农林水支出20000元，市场监测及信息管理支出50000元）项目经费占总支出21.22%，与财政拨入吻合。</w:t>
      </w:r>
    </w:p>
    <w:p>
      <w:pPr>
        <w:snapToGrid w:val="0"/>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今年财政部门实际拨款7997014.1元，2017年经费支出为7990224.66元，结余26789.44元</w:t>
      </w:r>
      <w:r>
        <w:rPr>
          <w:rFonts w:hint="eastAsia" w:ascii="仿宋_GB2312" w:eastAsia="仿宋_GB2312"/>
          <w:color w:val="000000"/>
          <w:sz w:val="32"/>
          <w:szCs w:val="32"/>
          <w:lang w:eastAsia="zh-CN"/>
        </w:rPr>
        <w:t>，</w:t>
      </w:r>
      <w:r>
        <w:rPr>
          <w:rFonts w:hint="eastAsia" w:ascii="仿宋_GB2312" w:eastAsia="仿宋_GB2312"/>
          <w:color w:val="000000"/>
          <w:sz w:val="32"/>
          <w:szCs w:val="32"/>
        </w:rPr>
        <w:t>支出占收入99.92%</w:t>
      </w:r>
      <w:r>
        <w:rPr>
          <w:rFonts w:hint="eastAsia" w:ascii="仿宋_GB2312" w:eastAsia="仿宋_GB2312"/>
          <w:color w:val="000000"/>
          <w:sz w:val="32"/>
          <w:szCs w:val="32"/>
          <w:lang w:eastAsia="zh-CN"/>
        </w:rPr>
        <w:t>。</w:t>
      </w:r>
      <w:r>
        <w:rPr>
          <w:rFonts w:hint="eastAsia" w:ascii="仿宋_GB2312" w:eastAsia="仿宋_GB2312"/>
          <w:color w:val="000000"/>
          <w:sz w:val="32"/>
          <w:szCs w:val="32"/>
        </w:rPr>
        <w:t>结余为机关事业单位养老保险结余</w:t>
      </w:r>
      <w:r>
        <w:rPr>
          <w:rFonts w:hint="eastAsia" w:ascii="仿宋_GB2312" w:eastAsia="仿宋_GB2312"/>
          <w:color w:val="000000"/>
          <w:sz w:val="32"/>
          <w:szCs w:val="32"/>
          <w:lang w:eastAsia="zh-CN"/>
        </w:rPr>
        <w:t>。</w:t>
      </w: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2017年呈贡区统计局</w:t>
      </w:r>
      <w:r>
        <w:rPr>
          <w:rFonts w:hint="eastAsia" w:ascii="仿宋_GB2312" w:hAnsi="仿宋" w:eastAsia="仿宋_GB2312"/>
          <w:b/>
          <w:sz w:val="32"/>
          <w:szCs w:val="32"/>
        </w:rPr>
        <w:t>“</w:t>
      </w:r>
      <w:r>
        <w:rPr>
          <w:rFonts w:hint="eastAsia" w:ascii="仿宋_GB2312" w:hAnsi="仿宋" w:eastAsia="仿宋_GB2312"/>
          <w:sz w:val="32"/>
          <w:szCs w:val="32"/>
        </w:rPr>
        <w:t>三公</w:t>
      </w:r>
      <w:r>
        <w:rPr>
          <w:rFonts w:hint="eastAsia" w:ascii="仿宋_GB2312" w:hAnsi="仿宋" w:eastAsia="仿宋_GB2312"/>
          <w:b/>
          <w:sz w:val="32"/>
          <w:szCs w:val="32"/>
        </w:rPr>
        <w:t>”</w:t>
      </w:r>
      <w:r>
        <w:rPr>
          <w:rFonts w:hint="eastAsia" w:ascii="仿宋_GB2312" w:hAnsi="仿宋" w:eastAsia="仿宋_GB2312"/>
          <w:sz w:val="32"/>
          <w:szCs w:val="32"/>
        </w:rPr>
        <w:t>经费支出62731.39元，其中：因公出国境支出0元，公务接待费51309.41元，公务用车运行维护费11421.98元。与2016年对比减少36592.82元，其中：公务接待费减少24250.64元，公务用车运行维护较少12342.18元，主要原因为本单位公务用车改革后，严格按照公务用车性质，规范公务车辆的使用，因此车辆运行购置费用较上年减少。会议费支出情况：2017年会议费支出36471元，比2016年5600元，增加30871元，主要原因是2017年统计制度改革，我局组织了全区的统计调查企业对统计制度进行了培训，同时召开了各专业统计入库项目会议</w:t>
      </w:r>
      <w:r>
        <w:rPr>
          <w:rFonts w:hint="eastAsia" w:ascii="仿宋_GB2312" w:hAnsi="仿宋" w:eastAsia="仿宋_GB2312"/>
          <w:sz w:val="32"/>
          <w:szCs w:val="32"/>
          <w:lang w:eastAsia="zh-CN"/>
        </w:rPr>
        <w:t>。</w:t>
      </w:r>
      <w:r>
        <w:rPr>
          <w:rFonts w:hint="eastAsia" w:ascii="仿宋_GB2312" w:hAnsi="仿宋" w:eastAsia="仿宋_GB2312"/>
          <w:sz w:val="32"/>
          <w:szCs w:val="32"/>
        </w:rPr>
        <w:t xml:space="preserve">培训费支出情况：2017年区统计局培训费用42152元，比2016年77868元，较少了35716元，主要原因为2016年我局开展第三次全国农业普查，对全区各街道的普查员、指导员进行了培训，而2017年此项工作结束，因此培训费用减少。 </w:t>
      </w: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
          <w:color w:val="000000"/>
          <w:sz w:val="32"/>
          <w:szCs w:val="32"/>
        </w:rPr>
        <w:t>本年收入：2017年基本支出及项目支出预算均比2016年增加，主要原因是：2017年行政人员、事业人员工资改革调标；</w:t>
      </w:r>
      <w:r>
        <w:rPr>
          <w:rFonts w:hint="eastAsia" w:ascii="仿宋_GB2312" w:hAnsi="仿宋" w:eastAsia="仿宋_GB2312"/>
          <w:sz w:val="32"/>
          <w:szCs w:val="32"/>
        </w:rPr>
        <w:t>2017年按照市政府办公厅要求，我局在六个街道32个社区配备32名社区统计人员，人员经费按照每社区20000元的标准追加项目预算426666元（其他统计事务2010599，增加426666元），中央转移支付农业农村监测经费20000元（其他农林水支出2139999，增加20000元），中央内贸流通经费50000元（市场监测及内贸流通经费2160217，增加50000元）</w:t>
      </w: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
          <w:color w:val="000000"/>
          <w:sz w:val="32"/>
          <w:szCs w:val="32"/>
        </w:rPr>
        <w:t>本年支出：2017年基本支出及项目支出预算均比2016年增加，主要原因是：2017年行政人员、事业人员工资改革调标；</w:t>
      </w:r>
      <w:r>
        <w:rPr>
          <w:rFonts w:hint="eastAsia" w:ascii="仿宋_GB2312" w:hAnsi="仿宋" w:eastAsia="仿宋_GB2312"/>
          <w:sz w:val="32"/>
          <w:szCs w:val="32"/>
        </w:rPr>
        <w:t>2017年按照市政府办公厅要求，我局在六个街道32个社区配备32名社区统计人员，人员经费按照每社区20000元的标准追加项目预算426666元（其他统计事务2010599，增加426666元），中央转移支付农业农村监测经费20000元（其他农林水支出2139999，增加20000元），中央内贸流通经费50000元（市场监测及内贸流通经费2160217，增加50000元）</w:t>
      </w:r>
      <w:r>
        <w:rPr>
          <w:rFonts w:hint="eastAsia" w:ascii="仿宋_GB2312" w:hAnsi="仿宋" w:eastAsia="仿宋_GB2312" w:cs="仿宋"/>
          <w:color w:val="000000"/>
          <w:sz w:val="32"/>
          <w:szCs w:val="32"/>
        </w:rPr>
        <w:t>，致使本单位2016年支出增加。</w:t>
      </w:r>
    </w:p>
    <w:p>
      <w:pPr>
        <w:spacing w:line="600" w:lineRule="exact"/>
        <w:ind w:firstLine="48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年末结转结余：2017年年末结转结余减少，主要原因是：本单位严肃财经纪律，交回区政府财政资金19048.02元，同时支出2016年结转农业农村监测经费20000元，因此结转结余资金减少。</w:t>
      </w:r>
    </w:p>
    <w:p>
      <w:pPr>
        <w:spacing w:line="600" w:lineRule="exact"/>
        <w:ind w:firstLine="48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汽车原值：2017年按照公务用车制度改革相关要求，我局原有车辆云A·HA013参加公务用车改革拍卖，云A·E7436报废，以上两辆车的原值为317834元。同时为保障本单位公务用车，自区老干局调剂车辆1辆，原值146429元。</w:t>
      </w:r>
    </w:p>
    <w:p>
      <w:pPr>
        <w:spacing w:line="600" w:lineRule="exact"/>
        <w:ind w:firstLine="48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车辆运行维护费：2017年本单位严格按照本单位公务用车的性质使用车辆，2016年本单位公务用车的编制为2辆而2017年本单位只有1辆公务用车，因此本单位车辆运行维护费比2016年低。</w:t>
      </w:r>
    </w:p>
    <w:p>
      <w:pPr>
        <w:spacing w:line="600" w:lineRule="exact"/>
        <w:ind w:firstLine="48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公务接待费：2017年公务接待费较2016年减少32.09%，主要原因是：2016年开展第三次全国农业普查，省、市普查领导小组对此项工作开展巡查等接待，同时，城乡一体化住户调查电子记账的推广，各县区到我局考察学习等因素，2017年第三次全国农业普查结束，因此2017年公务接待较2016年低。</w:t>
      </w:r>
    </w:p>
    <w:p>
      <w:pPr>
        <w:spacing w:line="600" w:lineRule="exact"/>
        <w:ind w:firstLine="48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会议费：2017年会议费36471元，较2016年增加，主要原因为2017年国家统计制度改革，因此我局组织呈贡区各企业参加制度培训，从而导致我局会议费较上年增加。</w:t>
      </w:r>
    </w:p>
    <w:p>
      <w:pPr>
        <w:spacing w:line="600" w:lineRule="exact"/>
        <w:ind w:firstLine="48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培训费：2017年培训费比2016年减少，是由于2016年开展第三次全国农业普查、选聘普查员、指导员98人，培训392人次，而2017年此项工作结束，因此2017年培训费较2016年降低。</w:t>
      </w:r>
    </w:p>
    <w:p>
      <w:pPr>
        <w:spacing w:line="600" w:lineRule="exact"/>
        <w:ind w:firstLine="643" w:firstLineChars="200"/>
        <w:rPr>
          <w:rFonts w:hint="eastAsia" w:ascii="黑体" w:hAnsi="黑体" w:eastAsia="黑体" w:cs="黑体"/>
          <w:b/>
          <w:sz w:val="32"/>
          <w:szCs w:val="32"/>
          <w:lang w:eastAsia="zh-CN"/>
        </w:rPr>
      </w:pPr>
      <w:r>
        <w:rPr>
          <w:rFonts w:hint="eastAsia" w:ascii="黑体" w:hAnsi="黑体" w:eastAsia="黑体" w:cs="黑体"/>
          <w:b/>
          <w:sz w:val="32"/>
          <w:szCs w:val="32"/>
          <w:lang w:eastAsia="zh-CN"/>
        </w:rPr>
        <w:t>二、绩效评价工作情况</w:t>
      </w:r>
    </w:p>
    <w:p>
      <w:pPr>
        <w:widowControl/>
        <w:numPr>
          <w:ilvl w:val="0"/>
          <w:numId w:val="0"/>
        </w:numPr>
        <w:shd w:val="clear" w:color="auto" w:fill="FFFFFF"/>
        <w:spacing w:line="300" w:lineRule="atLeast"/>
        <w:ind w:firstLine="640" w:firstLineChars="200"/>
        <w:jc w:val="left"/>
        <w:rPr>
          <w:rFonts w:hint="eastAsia" w:ascii="楷体_GB2312" w:hAnsi="楷体_GB2312" w:eastAsia="楷体_GB2312" w:cs="楷体_GB2312"/>
          <w:color w:val="313131"/>
          <w:kern w:val="0"/>
          <w:sz w:val="32"/>
          <w:szCs w:val="32"/>
          <w:lang w:eastAsia="zh-CN"/>
        </w:rPr>
      </w:pPr>
      <w:r>
        <w:rPr>
          <w:rFonts w:hint="eastAsia" w:ascii="楷体_GB2312" w:hAnsi="楷体_GB2312" w:eastAsia="楷体_GB2312" w:cs="楷体_GB2312"/>
          <w:color w:val="313131"/>
          <w:kern w:val="0"/>
          <w:sz w:val="32"/>
          <w:szCs w:val="32"/>
          <w:lang w:eastAsia="zh-CN"/>
        </w:rPr>
        <w:t>（一</w:t>
      </w:r>
      <w:r>
        <w:rPr>
          <w:rFonts w:hint="eastAsia" w:ascii="楷体_GB2312" w:hAnsi="楷体_GB2312" w:eastAsia="楷体_GB2312" w:cs="楷体_GB2312"/>
          <w:color w:val="313131"/>
          <w:kern w:val="0"/>
          <w:sz w:val="32"/>
          <w:szCs w:val="32"/>
          <w:lang w:val="en-US" w:eastAsia="zh-CN"/>
        </w:rPr>
        <w:t>）</w:t>
      </w:r>
      <w:r>
        <w:rPr>
          <w:rFonts w:hint="eastAsia" w:ascii="楷体_GB2312" w:hAnsi="楷体_GB2312" w:eastAsia="楷体_GB2312" w:cs="楷体_GB2312"/>
          <w:color w:val="313131"/>
          <w:kern w:val="0"/>
          <w:sz w:val="32"/>
          <w:szCs w:val="32"/>
          <w:lang w:eastAsia="zh-CN"/>
        </w:rPr>
        <w:t>绩效评价目的</w:t>
      </w:r>
    </w:p>
    <w:p>
      <w:pPr>
        <w:widowControl/>
        <w:numPr>
          <w:ilvl w:val="0"/>
          <w:numId w:val="0"/>
        </w:numPr>
        <w:shd w:val="clear" w:color="auto" w:fill="FFFFFF"/>
        <w:spacing w:line="300" w:lineRule="atLeast"/>
        <w:ind w:firstLine="640" w:firstLineChars="200"/>
        <w:jc w:val="left"/>
        <w:rPr>
          <w:rFonts w:hint="eastAsia" w:ascii="仿宋_GB2312" w:hAnsi="仿宋_GB2312" w:eastAsia="仿宋_GB2312" w:cs="仿宋_GB2312"/>
          <w:color w:val="313131"/>
          <w:kern w:val="0"/>
          <w:sz w:val="32"/>
          <w:szCs w:val="32"/>
          <w:lang w:eastAsia="zh-CN"/>
        </w:rPr>
      </w:pPr>
      <w:r>
        <w:rPr>
          <w:rFonts w:hint="eastAsia" w:ascii="仿宋_GB2312" w:hAnsi="仿宋_GB2312" w:eastAsia="仿宋_GB2312" w:cs="仿宋_GB2312"/>
          <w:color w:val="313131"/>
          <w:kern w:val="0"/>
          <w:sz w:val="32"/>
          <w:szCs w:val="32"/>
          <w:lang w:eastAsia="zh-CN"/>
        </w:rPr>
        <w:t>为进一步加强预算绩效管理，强化支出责任，提高财政资金使用效益根据呈贡区财政局绩效管理工作要求，对我局部门整体支出绩效进行评价。</w:t>
      </w:r>
    </w:p>
    <w:p>
      <w:pPr>
        <w:widowControl/>
        <w:numPr>
          <w:ilvl w:val="0"/>
          <w:numId w:val="0"/>
        </w:numPr>
        <w:shd w:val="clear" w:color="auto" w:fill="FFFFFF"/>
        <w:spacing w:line="300" w:lineRule="atLeast"/>
        <w:ind w:firstLine="640" w:firstLineChars="200"/>
        <w:jc w:val="left"/>
        <w:rPr>
          <w:rFonts w:hint="eastAsia" w:ascii="楷体_GB2312" w:hAnsi="楷体_GB2312" w:eastAsia="楷体_GB2312" w:cs="楷体_GB2312"/>
          <w:color w:val="313131"/>
          <w:kern w:val="0"/>
          <w:sz w:val="32"/>
          <w:szCs w:val="32"/>
          <w:lang w:eastAsia="zh-CN"/>
        </w:rPr>
      </w:pPr>
      <w:r>
        <w:rPr>
          <w:rFonts w:hint="eastAsia" w:ascii="楷体_GB2312" w:hAnsi="楷体_GB2312" w:eastAsia="楷体_GB2312" w:cs="楷体_GB2312"/>
          <w:color w:val="313131"/>
          <w:kern w:val="0"/>
          <w:sz w:val="32"/>
          <w:szCs w:val="32"/>
          <w:lang w:eastAsia="zh-CN"/>
        </w:rPr>
        <w:t>（二）绩效评价过程</w:t>
      </w:r>
    </w:p>
    <w:p>
      <w:pPr>
        <w:widowControl/>
        <w:numPr>
          <w:ilvl w:val="0"/>
          <w:numId w:val="0"/>
        </w:numPr>
        <w:shd w:val="clear" w:color="auto" w:fill="FFFFFF"/>
        <w:spacing w:line="300" w:lineRule="atLeast"/>
        <w:ind w:firstLine="640" w:firstLineChars="200"/>
        <w:jc w:val="left"/>
        <w:rPr>
          <w:rFonts w:hint="eastAsia" w:ascii="仿宋_GB2312" w:hAnsi="仿宋_GB2312" w:eastAsia="仿宋_GB2312" w:cs="仿宋_GB2312"/>
          <w:color w:val="313131"/>
          <w:kern w:val="0"/>
          <w:sz w:val="32"/>
          <w:szCs w:val="32"/>
        </w:rPr>
      </w:pPr>
      <w:r>
        <w:rPr>
          <w:rFonts w:hint="eastAsia" w:ascii="仿宋_GB2312" w:hAnsi="仿宋_GB2312" w:eastAsia="仿宋_GB2312" w:cs="仿宋_GB2312"/>
          <w:color w:val="313131"/>
          <w:kern w:val="0"/>
          <w:sz w:val="32"/>
          <w:szCs w:val="32"/>
          <w:lang w:eastAsia="zh-CN"/>
        </w:rPr>
        <w:t>根据昆明市呈贡区财政局《关于开展</w:t>
      </w:r>
      <w:r>
        <w:rPr>
          <w:rFonts w:hint="eastAsia" w:ascii="仿宋_GB2312" w:hAnsi="仿宋_GB2312" w:eastAsia="仿宋_GB2312" w:cs="仿宋_GB2312"/>
          <w:color w:val="313131"/>
          <w:kern w:val="0"/>
          <w:sz w:val="32"/>
          <w:szCs w:val="32"/>
          <w:lang w:val="en-US" w:eastAsia="zh-CN"/>
        </w:rPr>
        <w:t>2017年度区及预算支出绩效自评工作的通知</w:t>
      </w:r>
      <w:r>
        <w:rPr>
          <w:rFonts w:hint="eastAsia" w:ascii="仿宋_GB2312" w:hAnsi="仿宋_GB2312" w:eastAsia="仿宋_GB2312" w:cs="仿宋_GB2312"/>
          <w:color w:val="313131"/>
          <w:kern w:val="0"/>
          <w:sz w:val="32"/>
          <w:szCs w:val="32"/>
          <w:lang w:eastAsia="zh-CN"/>
        </w:rPr>
        <w:t>》（呈财【</w:t>
      </w:r>
      <w:r>
        <w:rPr>
          <w:rFonts w:hint="eastAsia" w:ascii="仿宋_GB2312" w:hAnsi="仿宋_GB2312" w:eastAsia="仿宋_GB2312" w:cs="仿宋_GB2312"/>
          <w:color w:val="313131"/>
          <w:kern w:val="0"/>
          <w:sz w:val="32"/>
          <w:szCs w:val="32"/>
          <w:lang w:val="en-US" w:eastAsia="zh-CN"/>
        </w:rPr>
        <w:t>2018</w:t>
      </w:r>
      <w:r>
        <w:rPr>
          <w:rFonts w:hint="eastAsia" w:ascii="仿宋_GB2312" w:hAnsi="仿宋_GB2312" w:eastAsia="仿宋_GB2312" w:cs="仿宋_GB2312"/>
          <w:color w:val="313131"/>
          <w:kern w:val="0"/>
          <w:sz w:val="32"/>
          <w:szCs w:val="32"/>
          <w:lang w:eastAsia="zh-CN"/>
        </w:rPr>
        <w:t>】</w:t>
      </w:r>
      <w:r>
        <w:rPr>
          <w:rFonts w:hint="eastAsia" w:ascii="仿宋_GB2312" w:hAnsi="仿宋_GB2312" w:eastAsia="仿宋_GB2312" w:cs="仿宋_GB2312"/>
          <w:color w:val="313131"/>
          <w:kern w:val="0"/>
          <w:sz w:val="32"/>
          <w:szCs w:val="32"/>
          <w:lang w:val="en-US" w:eastAsia="zh-CN"/>
        </w:rPr>
        <w:t>16号</w:t>
      </w:r>
      <w:r>
        <w:rPr>
          <w:rFonts w:hint="eastAsia" w:ascii="仿宋_GB2312" w:hAnsi="仿宋_GB2312" w:eastAsia="仿宋_GB2312" w:cs="仿宋_GB2312"/>
          <w:color w:val="313131"/>
          <w:kern w:val="0"/>
          <w:sz w:val="32"/>
          <w:szCs w:val="32"/>
          <w:lang w:eastAsia="zh-CN"/>
        </w:rPr>
        <w:t>）文件精神，对照</w:t>
      </w:r>
      <w:r>
        <w:rPr>
          <w:rFonts w:hint="eastAsia" w:ascii="仿宋_GB2312" w:hAnsi="仿宋_GB2312" w:eastAsia="仿宋_GB2312" w:cs="仿宋_GB2312"/>
          <w:color w:val="313131"/>
          <w:kern w:val="0"/>
          <w:sz w:val="32"/>
          <w:szCs w:val="32"/>
        </w:rPr>
        <w:t>部门整体支出绩效评价指标体系评分表，由局主要领导任组长，分管领导任副组长，组织局办公室、业务科（室）负责人及相关人员组成绩效考评组，对201</w:t>
      </w:r>
      <w:r>
        <w:rPr>
          <w:rFonts w:hint="eastAsia" w:ascii="仿宋_GB2312" w:hAnsi="仿宋_GB2312" w:eastAsia="仿宋_GB2312" w:cs="仿宋_GB2312"/>
          <w:color w:val="313131"/>
          <w:kern w:val="0"/>
          <w:sz w:val="32"/>
          <w:szCs w:val="32"/>
          <w:lang w:val="en-US" w:eastAsia="zh-CN"/>
        </w:rPr>
        <w:t>7</w:t>
      </w:r>
      <w:r>
        <w:rPr>
          <w:rFonts w:hint="eastAsia" w:ascii="仿宋_GB2312" w:hAnsi="仿宋_GB2312" w:eastAsia="仿宋_GB2312" w:cs="仿宋_GB2312"/>
          <w:color w:val="313131"/>
          <w:kern w:val="0"/>
          <w:sz w:val="32"/>
          <w:szCs w:val="32"/>
        </w:rPr>
        <w:t>年度的</w:t>
      </w:r>
      <w:r>
        <w:rPr>
          <w:rFonts w:hint="eastAsia" w:ascii="仿宋_GB2312" w:hAnsi="仿宋_GB2312" w:eastAsia="仿宋_GB2312" w:cs="仿宋_GB2312"/>
          <w:color w:val="313131"/>
          <w:kern w:val="0"/>
          <w:sz w:val="32"/>
          <w:szCs w:val="32"/>
          <w:lang w:eastAsia="zh-CN"/>
        </w:rPr>
        <w:t>部门整体支出绩效进行</w:t>
      </w:r>
      <w:r>
        <w:rPr>
          <w:rFonts w:hint="eastAsia" w:ascii="仿宋_GB2312" w:hAnsi="仿宋_GB2312" w:eastAsia="仿宋_GB2312" w:cs="仿宋_GB2312"/>
          <w:color w:val="313131"/>
          <w:kern w:val="0"/>
          <w:sz w:val="32"/>
          <w:szCs w:val="32"/>
        </w:rPr>
        <w:t>全面考核自评</w:t>
      </w:r>
      <w:r>
        <w:rPr>
          <w:rFonts w:hint="eastAsia" w:ascii="仿宋_GB2312" w:hAnsi="仿宋_GB2312" w:eastAsia="仿宋_GB2312" w:cs="仿宋_GB2312"/>
          <w:color w:val="313131"/>
          <w:kern w:val="0"/>
          <w:sz w:val="32"/>
          <w:szCs w:val="32"/>
          <w:lang w:eastAsia="zh-CN"/>
        </w:rPr>
        <w:t>。</w:t>
      </w:r>
      <w:r>
        <w:rPr>
          <w:rFonts w:hint="eastAsia" w:ascii="仿宋_GB2312" w:hAnsi="仿宋_GB2312" w:eastAsia="仿宋_GB2312" w:cs="仿宋_GB2312"/>
          <w:color w:val="313131"/>
          <w:kern w:val="0"/>
          <w:sz w:val="32"/>
          <w:szCs w:val="32"/>
        </w:rPr>
        <w:t>绩效评价工作主要有：</w:t>
      </w:r>
    </w:p>
    <w:p>
      <w:pPr>
        <w:widowControl/>
        <w:numPr>
          <w:ilvl w:val="0"/>
          <w:numId w:val="0"/>
        </w:numPr>
        <w:shd w:val="clear" w:color="auto" w:fill="FFFFFF"/>
        <w:spacing w:line="300" w:lineRule="atLeast"/>
        <w:ind w:firstLine="640" w:firstLineChars="200"/>
        <w:jc w:val="left"/>
        <w:rPr>
          <w:rFonts w:hint="eastAsia" w:ascii="仿宋_GB2312" w:hAnsi="仿宋_GB2312" w:eastAsia="仿宋_GB2312" w:cs="仿宋_GB2312"/>
          <w:color w:val="313131"/>
          <w:kern w:val="0"/>
          <w:sz w:val="32"/>
          <w:szCs w:val="32"/>
          <w:lang w:eastAsia="zh-CN"/>
        </w:rPr>
      </w:pPr>
      <w:r>
        <w:rPr>
          <w:rFonts w:hint="eastAsia" w:ascii="仿宋_GB2312" w:hAnsi="仿宋_GB2312" w:eastAsia="仿宋_GB2312" w:cs="仿宋_GB2312"/>
          <w:color w:val="313131"/>
          <w:kern w:val="0"/>
          <w:sz w:val="32"/>
          <w:szCs w:val="32"/>
          <w:lang w:val="en-US" w:eastAsia="zh-CN"/>
        </w:rPr>
        <w:t>1、</w:t>
      </w:r>
      <w:r>
        <w:rPr>
          <w:rFonts w:hint="eastAsia" w:ascii="仿宋_GB2312" w:hAnsi="仿宋_GB2312" w:eastAsia="仿宋_GB2312" w:cs="仿宋_GB2312"/>
          <w:color w:val="313131"/>
          <w:kern w:val="0"/>
          <w:sz w:val="32"/>
          <w:szCs w:val="32"/>
        </w:rPr>
        <w:t>核实数据。对201</w:t>
      </w:r>
      <w:r>
        <w:rPr>
          <w:rFonts w:hint="eastAsia" w:ascii="仿宋_GB2312" w:hAnsi="仿宋_GB2312" w:eastAsia="仿宋_GB2312" w:cs="仿宋_GB2312"/>
          <w:color w:val="313131"/>
          <w:kern w:val="0"/>
          <w:sz w:val="32"/>
          <w:szCs w:val="32"/>
          <w:lang w:val="en-US" w:eastAsia="zh-CN"/>
        </w:rPr>
        <w:t>7</w:t>
      </w:r>
      <w:r>
        <w:rPr>
          <w:rFonts w:hint="eastAsia" w:ascii="仿宋_GB2312" w:hAnsi="仿宋_GB2312" w:eastAsia="仿宋_GB2312" w:cs="仿宋_GB2312"/>
          <w:color w:val="313131"/>
          <w:kern w:val="0"/>
          <w:sz w:val="32"/>
          <w:szCs w:val="32"/>
        </w:rPr>
        <w:t>年度部门整体支出数据的准确性、真实性进行核实</w:t>
      </w:r>
      <w:r>
        <w:rPr>
          <w:rFonts w:hint="eastAsia" w:ascii="仿宋_GB2312" w:hAnsi="仿宋_GB2312" w:eastAsia="仿宋_GB2312" w:cs="仿宋_GB2312"/>
          <w:color w:val="313131"/>
          <w:kern w:val="0"/>
          <w:sz w:val="32"/>
          <w:szCs w:val="32"/>
          <w:lang w:eastAsia="zh-CN"/>
        </w:rPr>
        <w:t>。</w:t>
      </w:r>
    </w:p>
    <w:p>
      <w:pPr>
        <w:widowControl/>
        <w:numPr>
          <w:ilvl w:val="0"/>
          <w:numId w:val="0"/>
        </w:numPr>
        <w:shd w:val="clear" w:color="auto" w:fill="FFFFFF"/>
        <w:spacing w:line="300" w:lineRule="atLeast"/>
        <w:ind w:firstLine="640" w:firstLineChars="200"/>
        <w:jc w:val="left"/>
        <w:rPr>
          <w:rFonts w:hint="eastAsia" w:ascii="仿宋_GB2312" w:hAnsi="仿宋_GB2312" w:eastAsia="仿宋_GB2312" w:cs="仿宋_GB2312"/>
          <w:color w:val="313131"/>
          <w:kern w:val="0"/>
          <w:sz w:val="32"/>
          <w:szCs w:val="32"/>
        </w:rPr>
      </w:pPr>
      <w:r>
        <w:rPr>
          <w:rFonts w:hint="eastAsia" w:ascii="仿宋_GB2312" w:hAnsi="仿宋_GB2312" w:eastAsia="仿宋_GB2312" w:cs="仿宋_GB2312"/>
          <w:color w:val="313131"/>
          <w:kern w:val="0"/>
          <w:sz w:val="32"/>
          <w:szCs w:val="32"/>
          <w:lang w:val="en-US" w:eastAsia="zh-CN"/>
        </w:rPr>
        <w:t>2、</w:t>
      </w:r>
      <w:r>
        <w:rPr>
          <w:rFonts w:hint="eastAsia" w:ascii="仿宋_GB2312" w:hAnsi="仿宋_GB2312" w:eastAsia="仿宋_GB2312" w:cs="仿宋_GB2312"/>
          <w:color w:val="313131"/>
          <w:kern w:val="0"/>
          <w:sz w:val="32"/>
          <w:szCs w:val="32"/>
        </w:rPr>
        <w:t>查阅资料。查阅201</w:t>
      </w:r>
      <w:r>
        <w:rPr>
          <w:rFonts w:hint="eastAsia" w:ascii="仿宋_GB2312" w:hAnsi="仿宋_GB2312" w:eastAsia="仿宋_GB2312" w:cs="仿宋_GB2312"/>
          <w:color w:val="313131"/>
          <w:kern w:val="0"/>
          <w:sz w:val="32"/>
          <w:szCs w:val="32"/>
          <w:lang w:val="en-US" w:eastAsia="zh-CN"/>
        </w:rPr>
        <w:t>7</w:t>
      </w:r>
      <w:r>
        <w:rPr>
          <w:rFonts w:hint="eastAsia" w:ascii="仿宋_GB2312" w:hAnsi="仿宋_GB2312" w:eastAsia="仿宋_GB2312" w:cs="仿宋_GB2312"/>
          <w:color w:val="313131"/>
          <w:kern w:val="0"/>
          <w:sz w:val="32"/>
          <w:szCs w:val="32"/>
        </w:rPr>
        <w:t>年度预算安排、预算追加、资金管理、经费支出、资产管理等相关文件资料和财务凭证。</w:t>
      </w:r>
    </w:p>
    <w:p>
      <w:pPr>
        <w:widowControl/>
        <w:shd w:val="clear" w:color="auto" w:fill="FFFFFF"/>
        <w:spacing w:line="300" w:lineRule="atLeast"/>
        <w:ind w:firstLine="640" w:firstLineChars="200"/>
        <w:jc w:val="left"/>
        <w:rPr>
          <w:rFonts w:hint="eastAsia" w:ascii="仿宋_GB2312" w:hAnsi="仿宋_GB2312" w:eastAsia="仿宋_GB2312" w:cs="仿宋_GB2312"/>
          <w:color w:val="313131"/>
          <w:kern w:val="0"/>
          <w:sz w:val="32"/>
          <w:szCs w:val="32"/>
        </w:rPr>
      </w:pPr>
      <w:r>
        <w:rPr>
          <w:rFonts w:hint="eastAsia" w:ascii="仿宋_GB2312" w:hAnsi="仿宋_GB2312" w:eastAsia="仿宋_GB2312" w:cs="仿宋_GB2312"/>
          <w:color w:val="313131"/>
          <w:kern w:val="0"/>
          <w:sz w:val="32"/>
          <w:szCs w:val="32"/>
          <w:lang w:val="en-US" w:eastAsia="zh-CN"/>
        </w:rPr>
        <w:t>3、</w:t>
      </w:r>
      <w:r>
        <w:rPr>
          <w:rFonts w:hint="eastAsia" w:ascii="仿宋_GB2312" w:hAnsi="仿宋_GB2312" w:eastAsia="仿宋_GB2312" w:cs="仿宋_GB2312"/>
          <w:color w:val="313131"/>
          <w:kern w:val="0"/>
          <w:sz w:val="32"/>
          <w:szCs w:val="32"/>
        </w:rPr>
        <w:t>实地查看。现场查看实物资产等。</w:t>
      </w:r>
    </w:p>
    <w:p>
      <w:pPr>
        <w:widowControl/>
        <w:shd w:val="clear" w:color="auto" w:fill="FFFFFF"/>
        <w:spacing w:line="300" w:lineRule="atLeast"/>
        <w:ind w:firstLine="640" w:firstLineChars="200"/>
        <w:jc w:val="left"/>
        <w:rPr>
          <w:rFonts w:hint="eastAsia" w:ascii="仿宋_GB2312" w:hAnsi="仿宋_GB2312" w:eastAsia="仿宋_GB2312" w:cs="仿宋_GB2312"/>
          <w:color w:val="313131"/>
          <w:kern w:val="0"/>
          <w:sz w:val="32"/>
          <w:szCs w:val="32"/>
        </w:rPr>
      </w:pPr>
      <w:r>
        <w:rPr>
          <w:rFonts w:hint="eastAsia" w:ascii="仿宋_GB2312" w:hAnsi="仿宋_GB2312" w:eastAsia="仿宋_GB2312" w:cs="仿宋_GB2312"/>
          <w:color w:val="313131"/>
          <w:kern w:val="0"/>
          <w:sz w:val="32"/>
          <w:szCs w:val="32"/>
          <w:lang w:val="en-US" w:eastAsia="zh-CN"/>
        </w:rPr>
        <w:t>4、</w:t>
      </w:r>
      <w:r>
        <w:rPr>
          <w:rFonts w:hint="eastAsia" w:ascii="仿宋_GB2312" w:hAnsi="仿宋_GB2312" w:eastAsia="仿宋_GB2312" w:cs="仿宋_GB2312"/>
          <w:color w:val="313131"/>
          <w:kern w:val="0"/>
          <w:sz w:val="32"/>
          <w:szCs w:val="32"/>
          <w:lang w:eastAsia="zh-CN"/>
        </w:rPr>
        <w:t>安排各科室对重点项目落实</w:t>
      </w:r>
      <w:r>
        <w:rPr>
          <w:rFonts w:hint="eastAsia" w:ascii="仿宋_GB2312" w:hAnsi="仿宋_GB2312" w:eastAsia="仿宋_GB2312" w:cs="仿宋_GB2312"/>
          <w:color w:val="313131"/>
          <w:kern w:val="0"/>
          <w:sz w:val="32"/>
          <w:szCs w:val="32"/>
        </w:rPr>
        <w:t>情况进行</w:t>
      </w:r>
      <w:r>
        <w:rPr>
          <w:rFonts w:hint="eastAsia" w:ascii="仿宋_GB2312" w:hAnsi="仿宋_GB2312" w:eastAsia="仿宋_GB2312" w:cs="仿宋_GB2312"/>
          <w:color w:val="313131"/>
          <w:kern w:val="0"/>
          <w:sz w:val="32"/>
          <w:szCs w:val="32"/>
          <w:lang w:eastAsia="zh-CN"/>
        </w:rPr>
        <w:t>梳理，并填报支出绩效自评指标评分表，撰写项目支出绩效报告（自评）</w:t>
      </w:r>
      <w:r>
        <w:rPr>
          <w:rFonts w:hint="eastAsia" w:ascii="仿宋_GB2312" w:hAnsi="仿宋_GB2312" w:eastAsia="仿宋_GB2312" w:cs="仿宋_GB2312"/>
          <w:color w:val="313131"/>
          <w:kern w:val="0"/>
          <w:sz w:val="32"/>
          <w:szCs w:val="32"/>
        </w:rPr>
        <w:t>。</w:t>
      </w:r>
    </w:p>
    <w:p>
      <w:pPr>
        <w:widowControl/>
        <w:shd w:val="clear" w:color="auto" w:fill="FFFFFF"/>
        <w:spacing w:line="300" w:lineRule="atLeast"/>
        <w:ind w:firstLine="640" w:firstLineChars="200"/>
        <w:jc w:val="left"/>
        <w:rPr>
          <w:rFonts w:hint="eastAsia" w:ascii="仿宋_GB2312" w:hAnsi="仿宋_GB2312" w:eastAsia="仿宋_GB2312" w:cs="仿宋_GB2312"/>
          <w:color w:val="313131"/>
          <w:kern w:val="0"/>
          <w:sz w:val="32"/>
          <w:szCs w:val="32"/>
        </w:rPr>
      </w:pPr>
      <w:r>
        <w:rPr>
          <w:rFonts w:hint="eastAsia" w:ascii="仿宋_GB2312" w:hAnsi="仿宋_GB2312" w:eastAsia="仿宋_GB2312" w:cs="仿宋_GB2312"/>
          <w:color w:val="313131"/>
          <w:kern w:val="0"/>
          <w:sz w:val="32"/>
          <w:szCs w:val="32"/>
          <w:lang w:val="en-US" w:eastAsia="zh-CN"/>
        </w:rPr>
        <w:t>5、</w:t>
      </w:r>
      <w:r>
        <w:rPr>
          <w:rFonts w:hint="eastAsia" w:ascii="仿宋_GB2312" w:hAnsi="仿宋_GB2312" w:eastAsia="仿宋_GB2312" w:cs="仿宋_GB2312"/>
          <w:color w:val="313131"/>
          <w:kern w:val="0"/>
          <w:sz w:val="32"/>
          <w:szCs w:val="32"/>
        </w:rPr>
        <w:t>归纳汇总。对提供的材料及自评报告，结合现场评价情况进行综合分析、归纳汇总。</w:t>
      </w:r>
    </w:p>
    <w:p>
      <w:pPr>
        <w:widowControl/>
        <w:shd w:val="clear" w:color="auto" w:fill="FFFFFF"/>
        <w:spacing w:line="300" w:lineRule="atLeast"/>
        <w:ind w:firstLine="640" w:firstLineChars="200"/>
        <w:jc w:val="left"/>
        <w:rPr>
          <w:rFonts w:hint="eastAsia" w:ascii="仿宋_GB2312" w:hAnsi="仿宋_GB2312" w:eastAsia="仿宋_GB2312" w:cs="仿宋_GB2312"/>
          <w:color w:val="313131"/>
          <w:kern w:val="0"/>
          <w:sz w:val="32"/>
          <w:szCs w:val="32"/>
        </w:rPr>
      </w:pPr>
      <w:r>
        <w:rPr>
          <w:rFonts w:hint="eastAsia" w:ascii="仿宋_GB2312" w:hAnsi="仿宋_GB2312" w:eastAsia="仿宋_GB2312" w:cs="仿宋_GB2312"/>
          <w:color w:val="313131"/>
          <w:kern w:val="0"/>
          <w:sz w:val="32"/>
          <w:szCs w:val="32"/>
          <w:lang w:val="en-US" w:eastAsia="zh-CN"/>
        </w:rPr>
        <w:t>6、</w:t>
      </w:r>
      <w:r>
        <w:rPr>
          <w:rFonts w:hint="eastAsia" w:ascii="仿宋_GB2312" w:hAnsi="仿宋_GB2312" w:eastAsia="仿宋_GB2312" w:cs="仿宋_GB2312"/>
          <w:color w:val="313131"/>
          <w:kern w:val="0"/>
          <w:sz w:val="32"/>
          <w:szCs w:val="32"/>
        </w:rPr>
        <w:t>对各项评价指标进行分析讨论。</w:t>
      </w:r>
    </w:p>
    <w:p>
      <w:pPr>
        <w:widowControl/>
        <w:shd w:val="clear" w:color="auto" w:fill="FFFFFF"/>
        <w:spacing w:line="540" w:lineRule="atLeast"/>
        <w:ind w:firstLine="643" w:firstLineChars="200"/>
        <w:jc w:val="left"/>
        <w:rPr>
          <w:rFonts w:hint="eastAsia" w:ascii="黑体" w:hAnsi="黑体" w:eastAsia="黑体" w:cs="黑体"/>
          <w:b/>
          <w:bCs/>
          <w:color w:val="313131"/>
          <w:kern w:val="0"/>
          <w:sz w:val="32"/>
          <w:szCs w:val="32"/>
          <w:lang w:eastAsia="zh-CN"/>
        </w:rPr>
      </w:pPr>
      <w:r>
        <w:rPr>
          <w:rFonts w:hint="eastAsia" w:ascii="黑体" w:hAnsi="黑体" w:eastAsia="黑体" w:cs="黑体"/>
          <w:b/>
          <w:bCs/>
          <w:color w:val="313131"/>
          <w:kern w:val="0"/>
          <w:sz w:val="32"/>
          <w:szCs w:val="32"/>
          <w:lang w:eastAsia="zh-CN"/>
        </w:rPr>
        <w:t>三、主要绩效及评价结论</w:t>
      </w:r>
    </w:p>
    <w:p>
      <w:pPr>
        <w:ind w:firstLine="640" w:firstLineChars="200"/>
        <w:rPr>
          <w:rFonts w:hint="eastAsia" w:ascii="仿宋_GB2312" w:hAnsi="仿宋_GB2312" w:eastAsia="仿宋_GB2312" w:cs="仿宋_GB2312"/>
          <w:color w:val="313131"/>
          <w:kern w:val="0"/>
          <w:sz w:val="32"/>
          <w:szCs w:val="32"/>
          <w:lang w:val="en-US" w:eastAsia="zh-CN"/>
        </w:rPr>
      </w:pPr>
      <w:r>
        <w:rPr>
          <w:rFonts w:hint="eastAsia" w:ascii="仿宋_GB2312" w:hAnsi="仿宋_GB2312" w:eastAsia="仿宋_GB2312" w:cs="仿宋_GB2312"/>
          <w:color w:val="313131"/>
          <w:kern w:val="0"/>
          <w:sz w:val="32"/>
          <w:szCs w:val="32"/>
          <w:lang w:eastAsia="zh-CN"/>
        </w:rPr>
        <w:t>呈贡区统计局部门整体支出绩效</w:t>
      </w:r>
      <w:r>
        <w:rPr>
          <w:rFonts w:hint="eastAsia" w:ascii="仿宋_GB2312" w:hAnsi="仿宋_GB2312" w:eastAsia="仿宋_GB2312" w:cs="仿宋_GB2312"/>
          <w:color w:val="313131"/>
          <w:kern w:val="0"/>
          <w:sz w:val="32"/>
          <w:szCs w:val="32"/>
        </w:rPr>
        <w:t>综合评价得</w:t>
      </w:r>
      <w:r>
        <w:rPr>
          <w:rFonts w:hint="eastAsia" w:ascii="仿宋_GB2312" w:hAnsi="仿宋_GB2312" w:eastAsia="仿宋_GB2312" w:cs="仿宋_GB2312"/>
          <w:color w:val="313131"/>
          <w:kern w:val="0"/>
          <w:sz w:val="32"/>
          <w:szCs w:val="32"/>
          <w:lang w:val="en-US" w:eastAsia="zh-CN"/>
        </w:rPr>
        <w:t>99</w:t>
      </w:r>
      <w:r>
        <w:rPr>
          <w:rFonts w:hint="eastAsia" w:ascii="仿宋_GB2312" w:hAnsi="仿宋_GB2312" w:eastAsia="仿宋_GB2312" w:cs="仿宋_GB2312"/>
          <w:color w:val="313131"/>
          <w:kern w:val="0"/>
          <w:sz w:val="32"/>
          <w:szCs w:val="32"/>
        </w:rPr>
        <w:t>分，评价结果为优秀。</w:t>
      </w:r>
    </w:p>
    <w:p>
      <w:pPr>
        <w:ind w:firstLine="800" w:firstLineChars="25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（一）齐抓并举，各项统计工作取得新进展</w:t>
      </w:r>
    </w:p>
    <w:p>
      <w:pPr>
        <w:widowControl/>
        <w:spacing w:line="560" w:lineRule="exact"/>
        <w:ind w:firstLine="480"/>
        <w:rPr>
          <w:rFonts w:hint="eastAsia" w:ascii="仿宋_GB2312" w:eastAsia="仿宋_GB2312"/>
          <w:sz w:val="32"/>
          <w:szCs w:val="32"/>
        </w:rPr>
      </w:pPr>
      <w:r>
        <w:rPr>
          <w:rFonts w:hint="eastAsia" w:ascii="仿宋_GB2312" w:hAnsi="宋体" w:eastAsia="仿宋_GB2312" w:cs="Tahoma"/>
          <w:color w:val="000000"/>
          <w:kern w:val="0"/>
          <w:sz w:val="32"/>
          <w:szCs w:val="32"/>
        </w:rPr>
        <w:t>1．全力以赴做好第三次全国农业普查。2017年，我区第三次农业普查已进入正式入户登记、数据审核、录入、汇总、上报和质量评估阶段，为保障数据质量，我局将加大数据处理基础建设的工作力度，切实做好农业普查数据处理组织、物资和技术上的工作。按照《农业普查条例》及国家、省、市工作方案，组织全区普查员、指导员进行入户登记，对普查表中的信息进</w:t>
      </w:r>
      <w:r>
        <w:rPr>
          <w:rFonts w:hint="eastAsia" w:ascii="仿宋_GB2312" w:eastAsia="仿宋_GB2312"/>
          <w:color w:val="000000"/>
          <w:sz w:val="32"/>
          <w:szCs w:val="32"/>
        </w:rPr>
        <w:t>行</w:t>
      </w:r>
      <w:r>
        <w:rPr>
          <w:rFonts w:hint="eastAsia" w:ascii="仿宋_GB2312" w:eastAsia="仿宋_GB2312"/>
          <w:sz w:val="32"/>
          <w:szCs w:val="32"/>
        </w:rPr>
        <w:t>集中联审，发现逻辑关系错误、奇异数据等情况逐一与普查对象核实，真正做到区不漏户、户不漏表、表不漏人，保障了普查数据的真实、准确、完整，充分发挥普查资料的效用。</w:t>
      </w:r>
    </w:p>
    <w:p>
      <w:pPr>
        <w:widowControl/>
        <w:spacing w:line="560" w:lineRule="exact"/>
        <w:ind w:firstLine="480"/>
        <w:rPr>
          <w:rFonts w:hint="eastAsia" w:ascii="仿宋_GB2312" w:eastAsia="仿宋_GB2312"/>
          <w:sz w:val="32"/>
          <w:szCs w:val="32"/>
        </w:rPr>
      </w:pPr>
      <w:r>
        <w:rPr>
          <w:rFonts w:hint="eastAsia" w:ascii="仿宋_GB2312" w:eastAsia="仿宋_GB2312"/>
          <w:sz w:val="32"/>
          <w:szCs w:val="32"/>
        </w:rPr>
        <w:t>2.核算方面：认真做好GDP核算支撑性指标监测工作，全面提高GDP所需基础数据质量；抓好GDP和非公经济增加值的核算工作，对2009年至2013年经济普查GDP和非公经济增加值历史数据进</w:t>
      </w:r>
      <w:r>
        <w:rPr>
          <w:rFonts w:hint="eastAsia" w:ascii="仿宋_GB2312" w:eastAsia="仿宋_GB2312"/>
          <w:kern w:val="0"/>
          <w:sz w:val="32"/>
          <w:szCs w:val="32"/>
        </w:rPr>
        <w:t>行修订。</w:t>
      </w:r>
    </w:p>
    <w:p>
      <w:pPr>
        <w:spacing w:line="560" w:lineRule="exact"/>
        <w:ind w:firstLine="640" w:firstLineChars="200"/>
        <w:rPr>
          <w:rFonts w:hint="eastAsia" w:ascii="仿宋_GB2312" w:eastAsia="仿宋_GB2312"/>
          <w:kern w:val="0"/>
          <w:sz w:val="32"/>
          <w:szCs w:val="32"/>
        </w:rPr>
      </w:pPr>
      <w:r>
        <w:rPr>
          <w:rFonts w:hint="eastAsia" w:ascii="仿宋_GB2312" w:eastAsia="仿宋_GB2312"/>
          <w:bCs/>
          <w:kern w:val="0"/>
          <w:sz w:val="32"/>
          <w:szCs w:val="32"/>
        </w:rPr>
        <w:t>3.固定资产投资统计方面：</w:t>
      </w:r>
      <w:r>
        <w:rPr>
          <w:rFonts w:hint="eastAsia" w:ascii="仿宋_GB2312" w:eastAsia="仿宋_GB2312"/>
          <w:kern w:val="0"/>
          <w:sz w:val="32"/>
          <w:szCs w:val="32"/>
        </w:rPr>
        <w:t>抓好固定资产投资改革工作，报表上报、查询、汇总、分析等各个工作流程得到逐步规范，顺利度过了调整适应期；认真贯彻落实国家统计局“数据造假、以数谋私”专项治理工作，以企业（项目）巡查为手段，逐步规范、完善建设领域巡查制度；开展系统化培训，组织固定资产投资统计业务培训会，切实提高我区企业统计人员业务水平；制定《昆明市呈贡区统计局规模以上固定资产投资和建筑业预报预警制度》，建立日报制度，及时为向区委、区政府和行业主管部门准确反馈投资运行情况。</w:t>
      </w:r>
    </w:p>
    <w:p>
      <w:pPr>
        <w:spacing w:line="560" w:lineRule="exact"/>
        <w:ind w:firstLine="640" w:firstLineChars="200"/>
        <w:rPr>
          <w:rFonts w:hint="eastAsia" w:ascii="仿宋_GB2312" w:eastAsia="仿宋_GB2312"/>
          <w:kern w:val="0"/>
          <w:sz w:val="32"/>
          <w:szCs w:val="32"/>
        </w:rPr>
      </w:pPr>
      <w:r>
        <w:rPr>
          <w:rFonts w:hint="eastAsia" w:ascii="仿宋_GB2312" w:eastAsia="仿宋_GB2312"/>
          <w:bCs/>
          <w:kern w:val="0"/>
          <w:sz w:val="32"/>
          <w:szCs w:val="32"/>
        </w:rPr>
        <w:t>4.工业统计方面：</w:t>
      </w:r>
      <w:r>
        <w:rPr>
          <w:rFonts w:hint="eastAsia" w:ascii="仿宋_GB2312" w:eastAsia="仿宋_GB2312"/>
          <w:kern w:val="0"/>
          <w:sz w:val="32"/>
          <w:szCs w:val="32"/>
        </w:rPr>
        <w:t>加强对规模以上重点工业企业的监控，制定《昆明市呈贡区统计局工业、贸易预警预报制度》，变事后统计为事前预判，监测预警功能进一步完善；加强对经济发展新常态下重点、热点、难点问题分析，做到月度数据有分析、经济形势有研判，突出问题有预警。</w:t>
      </w:r>
    </w:p>
    <w:p>
      <w:pPr>
        <w:spacing w:line="560" w:lineRule="exact"/>
        <w:ind w:firstLine="640" w:firstLineChars="200"/>
        <w:rPr>
          <w:rFonts w:hint="eastAsia" w:ascii="仿宋_GB2312" w:eastAsia="仿宋_GB2312"/>
          <w:kern w:val="0"/>
          <w:sz w:val="32"/>
          <w:szCs w:val="32"/>
        </w:rPr>
      </w:pPr>
      <w:r>
        <w:rPr>
          <w:rFonts w:hint="eastAsia" w:ascii="仿宋_GB2312" w:eastAsia="仿宋_GB2312"/>
          <w:bCs/>
          <w:kern w:val="0"/>
          <w:sz w:val="32"/>
          <w:szCs w:val="32"/>
        </w:rPr>
        <w:t>5.能源统计方面：</w:t>
      </w:r>
      <w:r>
        <w:rPr>
          <w:rFonts w:hint="eastAsia" w:ascii="仿宋_GB2312" w:eastAsia="仿宋_GB2312"/>
          <w:kern w:val="0"/>
          <w:sz w:val="32"/>
          <w:szCs w:val="32"/>
        </w:rPr>
        <w:t>围绕“一套表”联网直报，对重点能耗企业开展跟踪监测；按季度做好我区能耗核算，客观真实反映我区节能降耗实际情况；积极开展节能降耗监测预警，节能降耗监测工作稳步提升。</w:t>
      </w:r>
    </w:p>
    <w:p>
      <w:pPr>
        <w:spacing w:line="560" w:lineRule="exact"/>
        <w:ind w:firstLine="640" w:firstLineChars="200"/>
        <w:rPr>
          <w:rFonts w:hint="eastAsia" w:ascii="仿宋_GB2312" w:eastAsia="仿宋_GB2312"/>
          <w:kern w:val="0"/>
          <w:sz w:val="32"/>
          <w:szCs w:val="32"/>
        </w:rPr>
      </w:pPr>
      <w:r>
        <w:rPr>
          <w:rFonts w:hint="eastAsia" w:ascii="仿宋_GB2312" w:eastAsia="仿宋_GB2312"/>
          <w:bCs/>
          <w:kern w:val="0"/>
          <w:sz w:val="32"/>
          <w:szCs w:val="32"/>
        </w:rPr>
        <w:t>6.贸易统计方面：根据</w:t>
      </w:r>
      <w:r>
        <w:rPr>
          <w:rFonts w:hint="eastAsia" w:ascii="仿宋_GB2312" w:eastAsia="仿宋_GB2312"/>
          <w:kern w:val="0"/>
          <w:sz w:val="32"/>
          <w:szCs w:val="32"/>
        </w:rPr>
        <w:t>《昆明市呈贡区统计局工业、贸易预警预报制度》做好预警预报监测工作，认真做好报表期间每日一报工作，加强审核查询，重点关注同比增速超30%以上或下降超30%以上的异常企业；认真做好贸易统计“一套表”商贸企业名录库工作，与行业主管部门认真梳理排查需要出入库的商贸企业名单，做好出入库管理工作。</w:t>
      </w:r>
    </w:p>
    <w:p>
      <w:pPr>
        <w:spacing w:line="560" w:lineRule="exact"/>
        <w:ind w:firstLine="640" w:firstLineChars="200"/>
        <w:rPr>
          <w:rFonts w:hint="eastAsia" w:ascii="仿宋_GB2312" w:eastAsia="仿宋_GB2312"/>
          <w:kern w:val="0"/>
          <w:sz w:val="32"/>
          <w:szCs w:val="32"/>
        </w:rPr>
      </w:pPr>
      <w:r>
        <w:rPr>
          <w:rFonts w:hint="eastAsia" w:ascii="仿宋_GB2312" w:eastAsia="仿宋_GB2312"/>
          <w:bCs/>
          <w:kern w:val="0"/>
          <w:sz w:val="32"/>
          <w:szCs w:val="32"/>
        </w:rPr>
        <w:t>7.服务业统计方面：</w:t>
      </w:r>
      <w:r>
        <w:rPr>
          <w:rFonts w:hint="eastAsia" w:ascii="仿宋_GB2312" w:eastAsia="仿宋_GB2312"/>
          <w:kern w:val="0"/>
          <w:sz w:val="32"/>
          <w:szCs w:val="32"/>
        </w:rPr>
        <w:t xml:space="preserve">严格按照国家制度要求，顺利完成企业定报工作；加强对重点企业的跟踪监测，及时发现、解决问题，确保L、O、R门类统计数据的准确性，为GDP核算提供数据支撑. </w:t>
      </w:r>
    </w:p>
    <w:p>
      <w:pPr>
        <w:spacing w:line="560" w:lineRule="exact"/>
        <w:ind w:firstLine="640" w:firstLineChars="200"/>
        <w:rPr>
          <w:rFonts w:hint="eastAsia" w:ascii="仿宋_GB2312" w:eastAsia="仿宋_GB2312"/>
          <w:kern w:val="0"/>
          <w:sz w:val="32"/>
          <w:szCs w:val="32"/>
        </w:rPr>
      </w:pPr>
      <w:r>
        <w:rPr>
          <w:rFonts w:hint="eastAsia" w:ascii="仿宋_GB2312" w:eastAsia="仿宋_GB2312"/>
          <w:bCs/>
          <w:kern w:val="0"/>
          <w:sz w:val="32"/>
          <w:szCs w:val="32"/>
        </w:rPr>
        <w:t>8.社会科技统计方面：</w:t>
      </w:r>
      <w:r>
        <w:rPr>
          <w:rFonts w:hint="eastAsia" w:ascii="仿宋_GB2312" w:eastAsia="仿宋_GB2312"/>
          <w:kern w:val="0"/>
          <w:sz w:val="32"/>
          <w:szCs w:val="32"/>
        </w:rPr>
        <w:t>做好昆明市妇女儿童“两规”监测统计，撰写《昆明市妇女发展中期规划（2011-2020）统计监测报告》、《昆明市儿童发展中期规划（2011-2020）统计监测报告》，为昆明市妇女儿童“两规”（2011-2020年）中期评估提供翔实依据；做好科技统计，加强业务培训和报表审核，客观、全面反映昆明市规模以上工业企业科技R&amp;D活动情况；做好文化产业统计，认真开展单位核查，定期召开联席会议研究测算相关数据.</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（二）认真分析研判，把握经济运行态势</w:t>
      </w:r>
    </w:p>
    <w:p>
      <w:pPr>
        <w:spacing w:line="560" w:lineRule="exact"/>
        <w:ind w:firstLine="640" w:firstLineChars="200"/>
        <w:rPr>
          <w:rFonts w:hint="eastAsia" w:ascii="仿宋_GB2312" w:hAnsi="宋体" w:eastAsia="仿宋_GB2312"/>
          <w:sz w:val="32"/>
          <w:szCs w:val="32"/>
        </w:rPr>
      </w:pPr>
      <w:r>
        <w:rPr>
          <w:rFonts w:hint="eastAsia" w:ascii="仿宋_GB2312" w:eastAsia="仿宋_GB2312"/>
          <w:sz w:val="32"/>
          <w:szCs w:val="32"/>
        </w:rPr>
        <w:t>根据呈贡区人民政府办公室《关于印发昆明市呈贡区2017年经济工作开门红实施方案的通知》要求，</w:t>
      </w:r>
      <w:r>
        <w:rPr>
          <w:rFonts w:hint="eastAsia" w:ascii="仿宋_GB2312" w:hAnsi="宋体" w:eastAsia="仿宋_GB2312"/>
          <w:sz w:val="32"/>
          <w:szCs w:val="32"/>
        </w:rPr>
        <w:t>我局结合各专业统计实际，紧扣适应和服务经济发展新常态，制定了《昆明市呈贡区统计局开门红实施方案》，进一步细化工作目标，深度挖掘统计资料，对在库企业、在库项目，逐一梳理，查找问题，研究措施，科学研判经济形势，及时开展预测预警，既当“数库”又当“智库”，全面把握经济运行态势。</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（三）丰富统计服务内容，提升统计服务能力水平 </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一是围绕当前全区经济社会发展重点、热点问题，发挥统计信息资源优势，科学开展跟踪监测和分析研究，努力建设现代化服务型统计；二是拓展统计服务领域，创新统计服务手段，出“精品”、出“新品”，提高统计服务的及时性、针对性和前瞻性；三是增强统计信息公开的透明度，全面增强统计面向社会公众的咨询服务能力，全方位提高统计服务的质量和水平，持续扩大统计社会影响力；四是在统计产品“质”与“量”上下功夫，进一步提高统计产品的时效性、针对性，使之外观精美、内容翔实，保障统计服务载体的精准权威。 </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（四）以反映发展趋势为重点，强化统计调查监测职能 </w:t>
      </w:r>
    </w:p>
    <w:p>
      <w:pPr>
        <w:spacing w:line="560" w:lineRule="exact"/>
        <w:ind w:firstLine="643" w:firstLineChars="200"/>
        <w:rPr>
          <w:rFonts w:hint="eastAsia" w:ascii="仿宋_GB2312" w:hAnsi="宋体" w:eastAsia="仿宋_GB2312"/>
          <w:sz w:val="32"/>
          <w:szCs w:val="32"/>
        </w:rPr>
      </w:pPr>
      <w:r>
        <w:rPr>
          <w:rFonts w:hint="eastAsia" w:ascii="仿宋_GB2312" w:eastAsia="仿宋_GB2312"/>
          <w:b/>
          <w:kern w:val="0"/>
          <w:sz w:val="32"/>
          <w:szCs w:val="32"/>
        </w:rPr>
        <w:t>一是</w:t>
      </w:r>
      <w:r>
        <w:rPr>
          <w:rFonts w:hint="eastAsia" w:ascii="仿宋_GB2312" w:eastAsia="仿宋_GB2312"/>
          <w:kern w:val="0"/>
          <w:sz w:val="32"/>
          <w:szCs w:val="32"/>
        </w:rPr>
        <w:t>加强各专业统计工作。在认真执行国家各项统计制度的基础上改革创新，</w:t>
      </w:r>
      <w:r>
        <w:rPr>
          <w:rFonts w:hint="eastAsia" w:ascii="仿宋_GB2312" w:eastAsia="仿宋_GB2312"/>
          <w:sz w:val="32"/>
          <w:szCs w:val="32"/>
        </w:rPr>
        <w:t>围绕全区主要经济社会发展指标，立足本职，做好地区生产总值、工业、建筑业、商贸业、房地产业、重点服务业等行业及能源、投资、文化产业等领域各项常规统计调查，</w:t>
      </w:r>
      <w:r>
        <w:rPr>
          <w:rFonts w:hint="eastAsia" w:ascii="仿宋_GB2312" w:hAnsi="宋体" w:eastAsia="仿宋_GB2312"/>
          <w:sz w:val="32"/>
          <w:szCs w:val="32"/>
        </w:rPr>
        <w:t>确保统计数据</w:t>
      </w:r>
      <w:r>
        <w:rPr>
          <w:rFonts w:hint="eastAsia" w:ascii="仿宋_GB2312" w:eastAsia="仿宋_GB2312"/>
          <w:sz w:val="32"/>
          <w:szCs w:val="32"/>
        </w:rPr>
        <w:t>真实、准确、</w:t>
      </w:r>
      <w:r>
        <w:rPr>
          <w:rFonts w:hint="eastAsia" w:ascii="仿宋_GB2312" w:hAnsi="宋体" w:eastAsia="仿宋_GB2312"/>
          <w:sz w:val="32"/>
          <w:szCs w:val="32"/>
        </w:rPr>
        <w:t>客观、真实地反映我区社会经济发展水平，</w:t>
      </w:r>
      <w:r>
        <w:rPr>
          <w:rFonts w:hint="eastAsia" w:ascii="仿宋_GB2312" w:eastAsia="仿宋_GB2312"/>
          <w:sz w:val="32"/>
          <w:szCs w:val="32"/>
        </w:rPr>
        <w:t>应统尽统。</w:t>
      </w:r>
      <w:r>
        <w:rPr>
          <w:rFonts w:hint="eastAsia" w:ascii="仿宋_GB2312" w:eastAsia="仿宋_GB2312"/>
          <w:b/>
          <w:bCs/>
          <w:sz w:val="32"/>
          <w:szCs w:val="32"/>
        </w:rPr>
        <w:t>二</w:t>
      </w:r>
      <w:r>
        <w:rPr>
          <w:rFonts w:hint="eastAsia" w:ascii="仿宋_GB2312" w:hAnsi="宋体" w:eastAsia="仿宋_GB2312"/>
          <w:b/>
          <w:bCs/>
          <w:sz w:val="32"/>
          <w:szCs w:val="32"/>
        </w:rPr>
        <w:t>是</w:t>
      </w:r>
      <w:r>
        <w:rPr>
          <w:rFonts w:hint="eastAsia" w:ascii="仿宋_GB2312" w:eastAsia="仿宋_GB2312"/>
          <w:sz w:val="32"/>
          <w:szCs w:val="32"/>
        </w:rPr>
        <w:t>做好全区各项经济指标的分析、监测及预警，</w:t>
      </w:r>
      <w:r>
        <w:rPr>
          <w:rFonts w:hint="eastAsia" w:ascii="仿宋_GB2312" w:hAnsi="宋体" w:eastAsia="仿宋_GB2312"/>
          <w:sz w:val="32"/>
          <w:szCs w:val="32"/>
        </w:rPr>
        <w:t>加大对全区与其他县区的对比分析，及时反映呈贡在区域竞争中的动态变化；</w:t>
      </w:r>
      <w:r>
        <w:rPr>
          <w:rFonts w:hint="eastAsia" w:ascii="仿宋_GB2312" w:eastAsia="仿宋_GB2312"/>
          <w:sz w:val="32"/>
          <w:szCs w:val="32"/>
        </w:rPr>
        <w:t>三</w:t>
      </w:r>
      <w:r>
        <w:rPr>
          <w:rFonts w:hint="eastAsia" w:ascii="仿宋_GB2312" w:hAnsi="宋体" w:eastAsia="仿宋_GB2312"/>
          <w:sz w:val="32"/>
          <w:szCs w:val="32"/>
        </w:rPr>
        <w:t xml:space="preserve">是继续做好社会经济发展运行趋势分析，强化民生、舆情、社会管理与发展状况的监测。同时，大力开展关系民生发展、社会管理等方面统计监测调查。 </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（五）以强化统计执法为保障，改善统计工作法制环境 </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是结合呈贡实际，坚持查处与整改相结合、处罚与教育相结合、执法与普法相结合，把预防、教育、指导、督查作为统计执法的重点，实现执法与服务的统一，增强统计执法的感召力，推进统计执法管理向统计执法服务的转变；二是针对新形势制定年度统计普法规划，确定普法的目标、任务、内容、形式和保障措施；三是创新普法形式，注重普法实效，积极做好统计法制宣传教育活动，扎实推进《统计法》及其实施条例的学习和理解；四是充分发挥统计法制的保障作用，加强统计执法监督力度，增强统计执法的自觉性和主动性，严肃查处各类统计违法行为，进一步增强统计对象和社会公众统计法律意识，不断优化统计工作环境 。</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（六）以统计体制改革为抓手，全力打造阳光统计</w:t>
      </w:r>
    </w:p>
    <w:p>
      <w:pPr>
        <w:autoSpaceDE w:val="0"/>
        <w:autoSpaceDN w:val="0"/>
        <w:adjustRightInd w:val="0"/>
        <w:snapToGrid w:val="0"/>
        <w:spacing w:line="560" w:lineRule="exact"/>
        <w:ind w:firstLine="600" w:firstLineChars="200"/>
        <w:rPr>
          <w:rFonts w:hint="eastAsia" w:ascii="仿宋_GB2312" w:eastAsia="仿宋_GB2312" w:cs="仿宋_GB2312"/>
          <w:spacing w:val="-10"/>
          <w:sz w:val="32"/>
          <w:szCs w:val="32"/>
          <w:lang w:val="zh-CN"/>
        </w:rPr>
      </w:pPr>
      <w:r>
        <w:rPr>
          <w:rFonts w:hint="eastAsia" w:ascii="仿宋_GB2312" w:eastAsia="仿宋_GB2312" w:cs="仿宋_GB2312"/>
          <w:spacing w:val="-10"/>
          <w:sz w:val="32"/>
          <w:szCs w:val="32"/>
          <w:lang w:val="zh-CN"/>
        </w:rPr>
        <w:t>按照中央《关于深化统计管理体制改革提高统计数据真实性的意见》和省相关要求，我局已制定了《昆明市呈贡区统计局统计数据质量管理和责任追究制度》，进一步规范了工作流程，明确统计责任，健全了计数据质量责任制，强化监督问责，依纪依法惩处弄虚作假，确保各类重大统计数据造假案件得到及时有效查处，确保统计资料真实准确、完整及时。</w:t>
      </w:r>
    </w:p>
    <w:p>
      <w:pPr>
        <w:widowControl/>
        <w:autoSpaceDN w:val="0"/>
        <w:adjustRightInd w:val="0"/>
        <w:snapToGrid w:val="0"/>
        <w:spacing w:line="560" w:lineRule="exact"/>
        <w:ind w:firstLine="800" w:firstLineChars="250"/>
        <w:rPr>
          <w:rFonts w:hint="eastAsia" w:ascii="楷体_GB2312" w:hAnsi="楷体_GB2312" w:eastAsia="楷体_GB2312" w:cs="楷体_GB2312"/>
          <w:snapToGrid w:val="0"/>
          <w:kern w:val="0"/>
          <w:sz w:val="32"/>
          <w:szCs w:val="32"/>
          <w:shd w:val="clear" w:color="auto" w:fill="FFFFFF"/>
        </w:rPr>
      </w:pPr>
      <w:r>
        <w:rPr>
          <w:rFonts w:hint="eastAsia" w:ascii="楷体_GB2312" w:hAnsi="楷体_GB2312" w:eastAsia="楷体_GB2312" w:cs="楷体_GB2312"/>
          <w:snapToGrid w:val="0"/>
          <w:kern w:val="0"/>
          <w:sz w:val="32"/>
          <w:szCs w:val="32"/>
          <w:shd w:val="clear" w:color="auto" w:fill="FFFFFF"/>
        </w:rPr>
        <w:t>（七）扎实推进“两学一做”学习教育常态化制度化，努力争做合格党员</w:t>
      </w:r>
    </w:p>
    <w:p>
      <w:pPr>
        <w:adjustRightInd w:val="0"/>
        <w:snapToGrid w:val="0"/>
        <w:spacing w:line="560" w:lineRule="exact"/>
        <w:ind w:firstLine="640" w:firstLineChars="200"/>
        <w:rPr>
          <w:rFonts w:hint="eastAsia" w:ascii="仿宋_GB2312" w:hAnsi="楷体" w:eastAsia="仿宋_GB2312"/>
          <w:sz w:val="32"/>
          <w:szCs w:val="32"/>
          <w:shd w:val="clear" w:color="auto" w:fill="FFFFFF"/>
        </w:rPr>
      </w:pPr>
      <w:r>
        <w:rPr>
          <w:rFonts w:hint="eastAsia" w:ascii="仿宋_GB2312" w:hAnsi="楷体" w:eastAsia="仿宋_GB2312"/>
          <w:sz w:val="32"/>
          <w:szCs w:val="32"/>
          <w:shd w:val="clear" w:color="auto" w:fill="FFFFFF"/>
        </w:rPr>
        <w:t>区统计局党支部始终坚持把党建工作作为局机关的中心工作来抓，党支部负责人和班子成员认真履行“一岗双责”，通过抓党建，促进机关效能建设。按照中、省和示范区要求，结合我局自身工作实际，制定我局党支部“两学一做”学习教育计划，按照“两学一做”学习教育方案，认真开展“两学一做”</w:t>
      </w:r>
      <w:r>
        <w:rPr>
          <w:rFonts w:hint="eastAsia" w:ascii="仿宋_GB2312" w:hAnsi="楷体" w:eastAsia="仿宋_GB2312"/>
          <w:sz w:val="32"/>
          <w:szCs w:val="32"/>
          <w:shd w:val="clear" w:color="auto" w:fill="FFFFFF"/>
          <w:lang w:eastAsia="zh-CN"/>
        </w:rPr>
        <w:t>学习教育</w:t>
      </w:r>
      <w:r>
        <w:rPr>
          <w:rFonts w:hint="eastAsia" w:ascii="仿宋_GB2312" w:hAnsi="楷体" w:eastAsia="仿宋_GB2312"/>
          <w:sz w:val="32"/>
          <w:szCs w:val="32"/>
          <w:shd w:val="clear" w:color="auto" w:fill="FFFFFF"/>
        </w:rPr>
        <w:t>。</w:t>
      </w:r>
    </w:p>
    <w:p>
      <w:pPr>
        <w:pStyle w:val="5"/>
        <w:adjustRightInd w:val="0"/>
        <w:snapToGrid w:val="0"/>
        <w:spacing w:line="560" w:lineRule="exact"/>
        <w:ind w:firstLine="640" w:firstLineChars="200"/>
        <w:rPr>
          <w:rFonts w:hint="eastAsia" w:ascii="仿宋_GB2312" w:hAnsi="仿宋" w:eastAsia="仿宋_GB2312"/>
          <w:sz w:val="32"/>
          <w:szCs w:val="32"/>
          <w:shd w:val="clear" w:color="auto" w:fill="FFFFFF"/>
        </w:rPr>
      </w:pPr>
      <w:r>
        <w:rPr>
          <w:rFonts w:hint="eastAsia" w:ascii="仿宋_GB2312" w:hAnsi="楷体" w:eastAsia="仿宋_GB2312"/>
          <w:sz w:val="32"/>
          <w:szCs w:val="32"/>
        </w:rPr>
        <w:t>1.突出经常性教育深化“学”这个基础。</w:t>
      </w:r>
      <w:r>
        <w:rPr>
          <w:rFonts w:hint="eastAsia" w:ascii="仿宋_GB2312" w:hAnsi="仿宋" w:eastAsia="仿宋_GB2312"/>
          <w:sz w:val="32"/>
          <w:szCs w:val="32"/>
        </w:rPr>
        <w:t>坚持和完善党组织理论学习制度，发挥好引领示范作用，深入推进“学习型”党组织建设，落实党员参加集中培训要求，进一步强化“四个意识”。局党支部围绕强化“四个意识”和学习党章两项重点工作，开展了2次专题集中学习讨论。党员根据自身实际制定了“两学一做”</w:t>
      </w:r>
      <w:r>
        <w:rPr>
          <w:rFonts w:hint="eastAsia" w:ascii="仿宋_GB2312" w:hAnsi="仿宋" w:eastAsia="仿宋_GB2312"/>
          <w:sz w:val="32"/>
          <w:szCs w:val="32"/>
          <w:lang w:eastAsia="zh-CN"/>
        </w:rPr>
        <w:t>学习教育</w:t>
      </w:r>
      <w:r>
        <w:rPr>
          <w:rFonts w:hint="eastAsia" w:ascii="仿宋_GB2312" w:hAnsi="仿宋" w:eastAsia="仿宋_GB2312"/>
          <w:sz w:val="32"/>
          <w:szCs w:val="32"/>
        </w:rPr>
        <w:t>自学计划。</w:t>
      </w:r>
      <w:r>
        <w:rPr>
          <w:rFonts w:hint="eastAsia" w:ascii="仿宋_GB2312" w:hAnsi="仿宋" w:eastAsia="仿宋_GB2312"/>
          <w:sz w:val="32"/>
          <w:szCs w:val="32"/>
          <w:shd w:val="clear" w:color="auto" w:fill="FFFFFF"/>
        </w:rPr>
        <w:t>组织党员观看了《铸就血脉》、《榜样》等6部电化教育片，组织党员关注了云岭先锋、共产党员、呈贡区委办公室、昆明组工、呈贡组织工作等微信公众平台，拓宽了党员学习的途径。</w:t>
      </w:r>
      <w:r>
        <w:rPr>
          <w:rFonts w:hint="eastAsia" w:ascii="仿宋_GB2312" w:hAnsi="仿宋" w:eastAsia="仿宋_GB2312"/>
          <w:sz w:val="32"/>
          <w:szCs w:val="32"/>
        </w:rPr>
        <w:t>持续开展“道德讲堂”进机关活动、志愿服务行动。继续开展法制宣传教育工作，引导机关党员干部学法守法用法，依法用权，依法办事。</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hAnsi="楷体" w:eastAsia="仿宋_GB2312"/>
          <w:sz w:val="32"/>
          <w:szCs w:val="32"/>
        </w:rPr>
        <w:t>2.加强做合格党员“做”这个关键。</w:t>
      </w:r>
      <w:r>
        <w:rPr>
          <w:rFonts w:hint="eastAsia" w:ascii="仿宋_GB2312" w:eastAsia="仿宋_GB2312"/>
          <w:sz w:val="32"/>
          <w:szCs w:val="32"/>
        </w:rPr>
        <w:t>以“迎接十九大，做合格党员”为抓手，教育引导广大党员按照“四讲四有”标准，做到政治合格、执行纪律合格、品德合格、发挥作用合格。通过开展党员个人自学和集中学习讨论和讲党课等多种形式，着力解决了部分党员意识不强、组织观念不强等问题。支部重点查找分析了组织生活经常、认真、严肃等问题，本支部未发生组织软弱涣散、从严治党缺位等问题。</w:t>
      </w:r>
    </w:p>
    <w:p>
      <w:pPr>
        <w:adjustRightInd w:val="0"/>
        <w:snapToGrid w:val="0"/>
        <w:spacing w:line="560" w:lineRule="exact"/>
        <w:ind w:firstLine="640" w:firstLineChars="200"/>
        <w:rPr>
          <w:rFonts w:hint="eastAsia" w:ascii="仿宋_GB2312" w:hAnsi="楷体" w:eastAsia="仿宋_GB2312"/>
          <w:sz w:val="32"/>
          <w:szCs w:val="32"/>
          <w:shd w:val="clear" w:color="auto" w:fill="FFFFFF"/>
        </w:rPr>
      </w:pPr>
      <w:r>
        <w:rPr>
          <w:rFonts w:hint="eastAsia" w:ascii="仿宋_GB2312" w:hAnsi="楷体" w:eastAsia="仿宋_GB2312"/>
          <w:sz w:val="32"/>
          <w:szCs w:val="32"/>
        </w:rPr>
        <w:t>3.着力推动“两学一做”学习教育常态化。</w:t>
      </w:r>
      <w:r>
        <w:rPr>
          <w:rFonts w:hint="eastAsia" w:ascii="仿宋_GB2312" w:eastAsia="仿宋_GB2312"/>
          <w:sz w:val="32"/>
          <w:szCs w:val="32"/>
        </w:rPr>
        <w:t>以尊崇党章、遵守党规为基本要求，以“两学一做”</w:t>
      </w:r>
      <w:r>
        <w:rPr>
          <w:rFonts w:hint="eastAsia" w:ascii="仿宋_GB2312" w:eastAsia="仿宋_GB2312"/>
          <w:sz w:val="32"/>
          <w:szCs w:val="32"/>
          <w:lang w:eastAsia="zh-CN"/>
        </w:rPr>
        <w:t>学习教育</w:t>
      </w:r>
      <w:bookmarkStart w:id="0" w:name="_GoBack"/>
      <w:bookmarkEnd w:id="0"/>
      <w:r>
        <w:rPr>
          <w:rFonts w:hint="eastAsia" w:ascii="仿宋_GB2312" w:eastAsia="仿宋_GB2312"/>
          <w:sz w:val="32"/>
          <w:szCs w:val="32"/>
        </w:rPr>
        <w:t>为基本内容，以“三会一课”为基本制度，以党支部为基本单位，以解决问题、发挥作用为基本目标，使学习教育形成常态、发挥长效，把学习教育融入日常、抓在经常。</w:t>
      </w:r>
    </w:p>
    <w:p>
      <w:pPr>
        <w:adjustRightInd w:val="0"/>
        <w:snapToGrid w:val="0"/>
        <w:spacing w:line="560" w:lineRule="exact"/>
        <w:ind w:firstLine="645"/>
        <w:rPr>
          <w:rFonts w:hint="eastAsia" w:ascii="楷体_GB2312" w:hAnsi="楷体_GB2312" w:eastAsia="楷体_GB2312" w:cs="楷体_GB2312"/>
          <w:snapToGrid w:val="0"/>
          <w:kern w:val="0"/>
          <w:sz w:val="32"/>
          <w:szCs w:val="32"/>
          <w:shd w:val="clear" w:color="auto" w:fill="FFFFFF"/>
        </w:rPr>
      </w:pPr>
      <w:r>
        <w:rPr>
          <w:rFonts w:hint="eastAsia" w:ascii="楷体_GB2312" w:hAnsi="楷体_GB2312" w:eastAsia="楷体_GB2312" w:cs="楷体_GB2312"/>
          <w:snapToGrid w:val="0"/>
          <w:kern w:val="0"/>
          <w:sz w:val="32"/>
          <w:szCs w:val="32"/>
          <w:shd w:val="clear" w:color="auto" w:fill="FFFFFF"/>
        </w:rPr>
        <w:t>（八）</w:t>
      </w:r>
      <w:r>
        <w:rPr>
          <w:rFonts w:hint="eastAsia" w:ascii="楷体_GB2312" w:hAnsi="楷体_GB2312" w:eastAsia="楷体_GB2312" w:cs="楷体_GB2312"/>
          <w:sz w:val="32"/>
          <w:szCs w:val="32"/>
        </w:rPr>
        <w:t>全面落实“基层党建提升年”各项任务，加强基层党建基础工作</w:t>
      </w:r>
      <w:r>
        <w:rPr>
          <w:rFonts w:hint="eastAsia" w:ascii="楷体_GB2312" w:hAnsi="楷体_GB2312" w:eastAsia="楷体_GB2312" w:cs="楷体_GB2312"/>
          <w:snapToGrid w:val="0"/>
          <w:kern w:val="0"/>
          <w:sz w:val="32"/>
          <w:szCs w:val="32"/>
          <w:shd w:val="clear" w:color="auto" w:fill="FFFFFF"/>
        </w:rPr>
        <w:t xml:space="preserve">      </w:t>
      </w:r>
    </w:p>
    <w:p>
      <w:pPr>
        <w:adjustRightInd w:val="0"/>
        <w:snapToGrid w:val="0"/>
        <w:spacing w:line="560" w:lineRule="exact"/>
        <w:ind w:firstLine="640" w:firstLineChars="200"/>
        <w:rPr>
          <w:rFonts w:hint="eastAsia" w:ascii="仿宋_GB2312" w:hAnsi="楷体" w:eastAsia="仿宋_GB2312"/>
          <w:sz w:val="32"/>
          <w:szCs w:val="32"/>
          <w:shd w:val="clear" w:color="auto" w:fill="FFFFFF"/>
        </w:rPr>
      </w:pPr>
      <w:r>
        <w:rPr>
          <w:rFonts w:hint="eastAsia" w:ascii="仿宋_GB2312" w:hAnsi="楷体" w:eastAsia="仿宋_GB2312"/>
          <w:sz w:val="32"/>
          <w:szCs w:val="32"/>
        </w:rPr>
        <w:t>1.深入实施“互联网+党建“行动计划。</w:t>
      </w:r>
      <w:r>
        <w:rPr>
          <w:rFonts w:hint="eastAsia" w:ascii="仿宋_GB2312" w:eastAsia="仿宋_GB2312"/>
          <w:sz w:val="32"/>
          <w:szCs w:val="32"/>
        </w:rPr>
        <w:t>着力创建机关党建示范点，深入实施“互联网+党建”行动计划，探索构建党建信息化网络体系。</w:t>
      </w:r>
      <w:r>
        <w:rPr>
          <w:rFonts w:hint="eastAsia" w:ascii="仿宋_GB2312" w:hAnsi="楷体" w:eastAsia="仿宋_GB2312"/>
          <w:sz w:val="32"/>
          <w:szCs w:val="32"/>
          <w:shd w:val="clear" w:color="auto" w:fill="FFFFFF"/>
        </w:rPr>
        <w:t>2017年，在区政府门户网站、中国.呈贡网上发布信息175条，微博发布信息2681条,粉丝数931个，微信发布信息327条，关注度572次。</w:t>
      </w:r>
    </w:p>
    <w:p>
      <w:pPr>
        <w:adjustRightInd w:val="0"/>
        <w:snapToGrid w:val="0"/>
        <w:spacing w:line="560" w:lineRule="exact"/>
        <w:ind w:firstLine="627" w:firstLineChars="196"/>
        <w:rPr>
          <w:rFonts w:hint="eastAsia" w:ascii="仿宋_GB2312" w:hAnsi="楷体" w:eastAsia="仿宋_GB2312"/>
          <w:sz w:val="32"/>
          <w:szCs w:val="32"/>
          <w:shd w:val="clear" w:color="auto" w:fill="FFFFFF"/>
        </w:rPr>
      </w:pPr>
      <w:r>
        <w:rPr>
          <w:rFonts w:hint="eastAsia" w:ascii="仿宋_GB2312" w:hAnsi="楷体" w:eastAsia="仿宋_GB2312"/>
          <w:sz w:val="32"/>
          <w:szCs w:val="32"/>
        </w:rPr>
        <w:t>2.认真做好党务、政务公开工作。</w:t>
      </w:r>
      <w:r>
        <w:rPr>
          <w:rFonts w:hint="eastAsia" w:ascii="仿宋_GB2312" w:hAnsi="楷体" w:eastAsia="仿宋_GB2312"/>
          <w:sz w:val="32"/>
          <w:szCs w:val="32"/>
          <w:shd w:val="clear" w:color="auto" w:fill="FFFFFF"/>
        </w:rPr>
        <w:t>今年我局充分利用党务公开栏及各种宣传途径，大力推进基层党组织的党务公开、政务公开工作，主动围绕群众最关心、最需要了解的事项及其办理过程予以公开。要求各统计专业办事流程及办事程序实行一次性告知，实行首问负责制，要求各统计专业今年内要印发统计办事流程及办事材料服务指南等摆放在各科室。开辟了党员活动室1个,党建宣传栏7个,大栏2个,小栏5个,廉政宣传栏5块，在党务公开栏上公示信息20条。</w:t>
      </w:r>
    </w:p>
    <w:p>
      <w:pPr>
        <w:adjustRightInd w:val="0"/>
        <w:snapToGrid w:val="0"/>
        <w:spacing w:line="560" w:lineRule="exact"/>
        <w:ind w:firstLine="640" w:firstLineChars="200"/>
        <w:rPr>
          <w:rFonts w:hint="eastAsia" w:ascii="仿宋_GB2312" w:hAnsi="楷体" w:eastAsia="仿宋_GB2312"/>
          <w:sz w:val="32"/>
          <w:szCs w:val="32"/>
          <w:shd w:val="clear" w:color="auto" w:fill="FFFFFF"/>
        </w:rPr>
      </w:pPr>
      <w:r>
        <w:rPr>
          <w:rFonts w:hint="eastAsia" w:ascii="仿宋_GB2312" w:hAnsi="楷体" w:eastAsia="仿宋_GB2312"/>
          <w:sz w:val="32"/>
          <w:szCs w:val="32"/>
        </w:rPr>
        <w:t>3.严格落实“党费日”制度及公示制度。</w:t>
      </w:r>
      <w:r>
        <w:rPr>
          <w:rFonts w:hint="eastAsia" w:ascii="仿宋_GB2312" w:hAnsi="楷体" w:eastAsia="仿宋_GB2312"/>
          <w:sz w:val="32"/>
          <w:szCs w:val="32"/>
          <w:shd w:val="clear" w:color="auto" w:fill="FFFFFF"/>
        </w:rPr>
        <w:t>区统计局按照区级机关工委的安排，把每月1日定为“党员固定活动”和“党费日”，定期收取每月党费，并按照要求公示了2017年1-10月党费收取情况，1月至10月党费已缴清。</w:t>
      </w:r>
    </w:p>
    <w:p>
      <w:pPr>
        <w:adjustRightInd w:val="0"/>
        <w:snapToGrid w:val="0"/>
        <w:spacing w:line="560" w:lineRule="exact"/>
        <w:ind w:firstLine="640" w:firstLineChars="200"/>
        <w:rPr>
          <w:rFonts w:hint="eastAsia" w:ascii="仿宋_GB2312" w:hAnsi="楷体" w:eastAsia="仿宋_GB2312"/>
          <w:sz w:val="32"/>
          <w:szCs w:val="32"/>
          <w:shd w:val="clear" w:color="auto" w:fill="FFFFFF"/>
        </w:rPr>
      </w:pPr>
      <w:r>
        <w:rPr>
          <w:rFonts w:hint="eastAsia" w:ascii="仿宋_GB2312" w:hAnsi="楷体" w:eastAsia="仿宋_GB2312"/>
          <w:sz w:val="32"/>
          <w:szCs w:val="32"/>
        </w:rPr>
        <w:t>4.认真开展党员政治生日谈话工作。</w:t>
      </w:r>
      <w:r>
        <w:rPr>
          <w:rFonts w:hint="eastAsia" w:ascii="仿宋_GB2312" w:hAnsi="楷体" w:eastAsia="仿宋_GB2312"/>
          <w:sz w:val="32"/>
          <w:szCs w:val="32"/>
          <w:shd w:val="clear" w:color="auto" w:fill="FFFFFF"/>
        </w:rPr>
        <w:t>为进一步激发党员先进性，强化党员的身份意识和责任意识，加强党性锻炼，我支部认真开展了党员政治生日谈话工作，建立了党员政治生日册，支部对过政治生日的党员进行了谈话，发放政治生日贺卡，增强了支部的凝聚力，为更好的建设基层党组织提供了有力保障。</w:t>
      </w:r>
    </w:p>
    <w:p>
      <w:pPr>
        <w:adjustRightInd w:val="0"/>
        <w:snapToGrid w:val="0"/>
        <w:spacing w:line="560" w:lineRule="exact"/>
        <w:rPr>
          <w:rFonts w:hint="eastAsia" w:ascii="仿宋_GB2312" w:hAnsi="楷体" w:eastAsia="仿宋_GB2312"/>
          <w:sz w:val="32"/>
          <w:szCs w:val="32"/>
          <w:shd w:val="clear" w:color="auto" w:fill="FFFFFF"/>
        </w:rPr>
      </w:pPr>
      <w:r>
        <w:rPr>
          <w:rFonts w:hint="eastAsia" w:ascii="仿宋_GB2312" w:eastAsia="仿宋_GB2312"/>
          <w:b/>
          <w:sz w:val="32"/>
          <w:szCs w:val="32"/>
          <w:shd w:val="clear" w:color="auto" w:fill="FFFFFF"/>
        </w:rPr>
        <w:t xml:space="preserve">    </w:t>
      </w:r>
      <w:r>
        <w:rPr>
          <w:rFonts w:hint="eastAsia" w:ascii="仿宋_GB2312" w:hAnsi="楷体" w:eastAsia="仿宋_GB2312"/>
          <w:sz w:val="32"/>
          <w:szCs w:val="32"/>
        </w:rPr>
        <w:t>5.加强对机关群团组织领导。</w:t>
      </w:r>
      <w:r>
        <w:rPr>
          <w:rFonts w:hint="eastAsia" w:ascii="仿宋_GB2312" w:hAnsi="宋体" w:eastAsia="仿宋_GB2312" w:cs="宋体"/>
          <w:sz w:val="32"/>
          <w:szCs w:val="32"/>
        </w:rPr>
        <w:t>做到党群工作同谋划、同部署、同检查、同考核、同落实，积极支持和保障机关工青妇组织依照各自的章程开展工作。</w:t>
      </w:r>
      <w:r>
        <w:rPr>
          <w:rFonts w:hint="eastAsia" w:ascii="仿宋_GB2312" w:hAnsi="楷体" w:eastAsia="仿宋_GB2312"/>
          <w:sz w:val="32"/>
          <w:szCs w:val="32"/>
          <w:shd w:val="clear" w:color="auto" w:fill="FFFFFF"/>
        </w:rPr>
        <w:t>2017年，支部按照区级机关工委工作要求，支持工青妇工作，组织党员参加了呈贡区三八妇女节趣味运动会活动，呈贡区第二届职工运动会，组织了以“家和万事兴”为主题的好家风好家训宣讲活动，推出统计局“最美家庭”，提升了统计工作的活力和凝聚力。</w:t>
      </w:r>
    </w:p>
    <w:p>
      <w:pPr>
        <w:pStyle w:val="5"/>
        <w:adjustRightInd w:val="0"/>
        <w:snapToGrid w:val="0"/>
        <w:spacing w:line="560" w:lineRule="exact"/>
        <w:ind w:firstLine="640" w:firstLineChars="200"/>
        <w:rPr>
          <w:rFonts w:hint="eastAsia" w:ascii="仿宋_GB2312" w:eastAsia="仿宋_GB2312"/>
          <w:sz w:val="32"/>
          <w:szCs w:val="32"/>
          <w:shd w:val="clear" w:color="auto" w:fill="FFFFFF"/>
        </w:rPr>
      </w:pPr>
      <w:r>
        <w:rPr>
          <w:rFonts w:hint="eastAsia" w:ascii="仿宋_GB2312" w:hAnsi="楷体" w:eastAsia="仿宋_GB2312"/>
          <w:sz w:val="32"/>
          <w:szCs w:val="32"/>
        </w:rPr>
        <w:t>6.加强党员干部队伍建设。</w:t>
      </w:r>
      <w:r>
        <w:rPr>
          <w:rFonts w:hint="eastAsia" w:ascii="仿宋_GB2312" w:eastAsia="仿宋_GB2312"/>
          <w:sz w:val="32"/>
          <w:szCs w:val="32"/>
          <w:shd w:val="clear" w:color="auto" w:fill="FFFFFF"/>
        </w:rPr>
        <w:t>加强党员管理工作，进行党组织关系排查。我局党支部严格按时间节点完成了集中摸排、联系查找、登记造册、规范管理、组织处置、分析总结七个步骤的工作，2017年1月至10月我局无转入、转出和流动党员，党组织关系转入转出信函按要求完成存档，进一步理顺了党员组织关系，规范了组织管理，健全完善了党员档案。</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（九）以人为本，凝聚干部队伍能量 </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是坚持“以人为本”，优化人才队伍结构，完善人力基础保障，加强分级分类教育培训，进一步提高干部队伍培训的专业化、精细化、规范化水平，培养“全才”，鼓励“专才”，打造高素质的统计队伍；二是大力实施人才发展战略，有计划地选拔业务骨干进行对内对外的交流与学习；三是合理调整现有人才配置，继续推进干部岗位交流，为各类人才提供发挥优势的岗位，有计划地培养、努力形成各尽其能、各得其所的良好局面；四是拓宽教育培训思路，开展多层次、个性化培训，突出教育培训的针对性、实用性，继续开展专业讲座，不断提升统计干部看数据、懂数据和用数据的能力；五是根据昆明市呈贡区人民政府《关于加强新形势下统计工作的意见》（呈政发〔2016〕152号）文件精神，加强对社区专职统计人员开展不同层次的专业统计知识培训和学习，确保基层统计人员能力素质的进一步提升。</w:t>
      </w:r>
    </w:p>
    <w:p>
      <w:pPr>
        <w:pStyle w:val="2"/>
        <w:shd w:val="clear" w:color="auto" w:fill="FFFFFF"/>
        <w:spacing w:before="0" w:beforeAutospacing="0" w:after="0" w:afterAutospacing="0" w:line="56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（十）</w:t>
      </w:r>
      <w:r>
        <w:rPr>
          <w:rFonts w:hint="eastAsia" w:ascii="楷体_GB2312" w:hAnsi="楷体_GB2312" w:eastAsia="楷体_GB2312" w:cs="楷体_GB2312"/>
          <w:sz w:val="32"/>
          <w:szCs w:val="32"/>
        </w:rPr>
        <w:t>主要经济指标完成情况</w:t>
      </w:r>
    </w:p>
    <w:p>
      <w:pPr>
        <w:pStyle w:val="2"/>
        <w:shd w:val="clear" w:color="auto" w:fill="FFFFFF"/>
        <w:spacing w:before="0" w:beforeAutospacing="0" w:after="0" w:afterAutospacing="0" w:line="560" w:lineRule="exact"/>
        <w:ind w:firstLine="640" w:firstLineChars="200"/>
        <w:jc w:val="both"/>
        <w:rPr>
          <w:rFonts w:ascii="仿宋_GB2312" w:eastAsia="仿宋_GB2312"/>
          <w:color w:val="000000"/>
          <w:sz w:val="32"/>
          <w:szCs w:val="32"/>
        </w:rPr>
      </w:pPr>
      <w:r>
        <w:rPr>
          <w:rFonts w:ascii="仿宋_GB2312" w:eastAsia="仿宋_GB2312"/>
          <w:color w:val="000000"/>
          <w:sz w:val="32"/>
          <w:szCs w:val="32"/>
        </w:rPr>
        <w:t>今年以来，在区委、区政府的坚强领导下，在各级部门的共同努力下，我区主要经济指标增长速度放缓，全社会经济形势较为严峻，经济下行压力依然存在的情况下，取得如此成绩来之不易。2017年全区完成地区生产总值</w:t>
      </w:r>
      <w:r>
        <w:rPr>
          <w:rFonts w:hint="eastAsia" w:ascii="仿宋_GB2312" w:eastAsia="仿宋_GB2312"/>
          <w:color w:val="000000"/>
          <w:sz w:val="32"/>
          <w:szCs w:val="32"/>
          <w:lang w:val="en-US" w:eastAsia="zh-CN"/>
        </w:rPr>
        <w:t>2271196万</w:t>
      </w:r>
      <w:r>
        <w:rPr>
          <w:rFonts w:ascii="仿宋_GB2312" w:eastAsia="仿宋_GB2312"/>
          <w:color w:val="000000"/>
          <w:sz w:val="32"/>
          <w:szCs w:val="32"/>
        </w:rPr>
        <w:t>元，同比增长</w:t>
      </w:r>
      <w:r>
        <w:rPr>
          <w:rFonts w:hint="eastAsia" w:ascii="仿宋_GB2312" w:eastAsia="仿宋_GB2312"/>
          <w:color w:val="000000"/>
          <w:sz w:val="32"/>
          <w:szCs w:val="32"/>
          <w:lang w:val="en-US" w:eastAsia="zh-CN"/>
        </w:rPr>
        <w:t>11.4</w:t>
      </w:r>
      <w:r>
        <w:rPr>
          <w:rFonts w:ascii="仿宋_GB2312" w:eastAsia="仿宋_GB2312"/>
          <w:color w:val="000000"/>
          <w:sz w:val="32"/>
          <w:szCs w:val="32"/>
        </w:rPr>
        <w:t>%。</w:t>
      </w:r>
      <w:r>
        <w:rPr>
          <w:rFonts w:hint="eastAsia" w:ascii="仿宋_GB2312" w:eastAsia="仿宋_GB2312"/>
          <w:sz w:val="32"/>
          <w:szCs w:val="32"/>
        </w:rPr>
        <w:t>2017年全区规模以上固定资产投资完成</w:t>
      </w:r>
      <w:r>
        <w:rPr>
          <w:rFonts w:hint="eastAsia" w:ascii="仿宋_GB2312" w:eastAsia="仿宋_GB2312"/>
          <w:sz w:val="32"/>
          <w:szCs w:val="32"/>
          <w:lang w:val="en-US" w:eastAsia="zh-CN"/>
        </w:rPr>
        <w:t>2601167</w:t>
      </w:r>
      <w:r>
        <w:rPr>
          <w:rFonts w:hint="eastAsia" w:ascii="仿宋_GB2312" w:eastAsia="仿宋_GB2312"/>
          <w:sz w:val="32"/>
          <w:szCs w:val="32"/>
        </w:rPr>
        <w:t>万元，同比</w:t>
      </w:r>
      <w:r>
        <w:rPr>
          <w:rFonts w:hint="eastAsia" w:ascii="仿宋_GB2312" w:eastAsia="仿宋_GB2312"/>
          <w:sz w:val="32"/>
          <w:szCs w:val="32"/>
          <w:lang w:eastAsia="zh-CN"/>
        </w:rPr>
        <w:t>增长</w:t>
      </w:r>
      <w:r>
        <w:rPr>
          <w:rFonts w:hint="eastAsia" w:ascii="仿宋_GB2312" w:eastAsia="仿宋_GB2312"/>
          <w:sz w:val="32"/>
          <w:szCs w:val="32"/>
          <w:lang w:val="en-US" w:eastAsia="zh-CN"/>
        </w:rPr>
        <w:t>11.4%</w:t>
      </w:r>
      <w:r>
        <w:rPr>
          <w:rFonts w:hint="eastAsia" w:ascii="仿宋_GB2312" w:eastAsia="仿宋_GB2312"/>
          <w:sz w:val="32"/>
          <w:szCs w:val="32"/>
        </w:rPr>
        <w:t>，完成全年目标任务260亿元的</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sz w:val="32"/>
          <w:szCs w:val="32"/>
          <w:lang w:val="en-US" w:eastAsia="zh-CN"/>
        </w:rPr>
        <w:t>2017年全</w:t>
      </w:r>
      <w:r>
        <w:rPr>
          <w:rFonts w:hint="eastAsia" w:ascii="仿宋_GB2312" w:eastAsia="仿宋_GB2312"/>
          <w:sz w:val="32"/>
          <w:szCs w:val="32"/>
        </w:rPr>
        <w:t>区规模以上工业增加值同比增长</w:t>
      </w:r>
      <w:r>
        <w:rPr>
          <w:rFonts w:hint="eastAsia" w:ascii="仿宋_GB2312" w:eastAsia="仿宋_GB2312"/>
          <w:sz w:val="32"/>
          <w:szCs w:val="32"/>
          <w:lang w:val="en-US" w:eastAsia="zh-CN"/>
        </w:rPr>
        <w:t>6.2</w:t>
      </w:r>
      <w:r>
        <w:rPr>
          <w:rFonts w:hint="eastAsia" w:ascii="仿宋_GB2312" w:eastAsia="仿宋_GB2312"/>
          <w:sz w:val="32"/>
          <w:szCs w:val="32"/>
        </w:rPr>
        <w:t>%，在全市排名第十。</w:t>
      </w:r>
      <w:r>
        <w:rPr>
          <w:rFonts w:hint="eastAsia" w:ascii="仿宋_GB2312" w:eastAsia="仿宋_GB2312"/>
          <w:sz w:val="32"/>
          <w:szCs w:val="32"/>
          <w:lang w:val="en-US" w:eastAsia="zh-CN"/>
        </w:rPr>
        <w:t>2017年全</w:t>
      </w:r>
      <w:r>
        <w:rPr>
          <w:rFonts w:hint="eastAsia" w:ascii="仿宋_GB2312" w:eastAsia="仿宋_GB2312"/>
          <w:sz w:val="32"/>
          <w:szCs w:val="32"/>
        </w:rPr>
        <w:t>区社会消费品零售额累计实现</w:t>
      </w:r>
      <w:r>
        <w:rPr>
          <w:rFonts w:hint="eastAsia" w:ascii="仿宋_GB2312" w:eastAsia="仿宋_GB2312"/>
          <w:sz w:val="32"/>
          <w:szCs w:val="32"/>
          <w:lang w:eastAsia="zh-CN"/>
        </w:rPr>
        <w:t>绝对值</w:t>
      </w:r>
      <w:r>
        <w:rPr>
          <w:rFonts w:hint="eastAsia" w:ascii="仿宋_GB2312" w:eastAsia="仿宋_GB2312"/>
          <w:sz w:val="32"/>
          <w:szCs w:val="32"/>
          <w:lang w:val="en-US" w:eastAsia="zh-CN"/>
        </w:rPr>
        <w:t>81067万元</w:t>
      </w:r>
      <w:r>
        <w:rPr>
          <w:rFonts w:hint="eastAsia" w:ascii="仿宋_GB2312" w:eastAsia="仿宋_GB2312"/>
          <w:sz w:val="32"/>
          <w:szCs w:val="32"/>
        </w:rPr>
        <w:t>，增长</w:t>
      </w:r>
      <w:r>
        <w:rPr>
          <w:rFonts w:hint="eastAsia" w:ascii="仿宋_GB2312" w:eastAsia="仿宋_GB2312"/>
          <w:sz w:val="32"/>
          <w:szCs w:val="32"/>
          <w:lang w:val="en-US" w:eastAsia="zh-CN"/>
        </w:rPr>
        <w:t>16.4</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color w:val="000000"/>
          <w:sz w:val="32"/>
          <w:szCs w:val="32"/>
          <w:lang w:val="en-US" w:eastAsia="zh-CN"/>
        </w:rPr>
        <w:t>2017年全</w:t>
      </w:r>
      <w:r>
        <w:rPr>
          <w:rFonts w:ascii="仿宋_GB2312" w:eastAsia="仿宋_GB2312"/>
          <w:color w:val="000000"/>
          <w:sz w:val="32"/>
          <w:szCs w:val="32"/>
        </w:rPr>
        <w:t>区城镇常住居民人均可支配收入为</w:t>
      </w:r>
      <w:r>
        <w:rPr>
          <w:rFonts w:hint="eastAsia" w:ascii="仿宋_GB2312" w:eastAsia="仿宋_GB2312"/>
          <w:color w:val="000000"/>
          <w:sz w:val="32"/>
          <w:szCs w:val="32"/>
          <w:lang w:val="en-US" w:eastAsia="zh-CN"/>
        </w:rPr>
        <w:t>40105</w:t>
      </w:r>
      <w:r>
        <w:rPr>
          <w:rFonts w:ascii="仿宋_GB2312" w:eastAsia="仿宋_GB2312"/>
          <w:color w:val="000000"/>
          <w:sz w:val="32"/>
          <w:szCs w:val="32"/>
        </w:rPr>
        <w:t>元，同比增长8.</w:t>
      </w:r>
      <w:r>
        <w:rPr>
          <w:rFonts w:hint="eastAsia" w:ascii="仿宋_GB2312" w:eastAsia="仿宋_GB2312"/>
          <w:color w:val="000000"/>
          <w:sz w:val="32"/>
          <w:szCs w:val="32"/>
          <w:lang w:val="en-US" w:eastAsia="zh-CN"/>
        </w:rPr>
        <w:t>1</w:t>
      </w:r>
      <w:r>
        <w:rPr>
          <w:rFonts w:ascii="仿宋_GB2312" w:eastAsia="仿宋_GB2312"/>
          <w:color w:val="000000"/>
          <w:sz w:val="32"/>
          <w:szCs w:val="32"/>
        </w:rPr>
        <w:t>%；农村常住居民人均可支配收入预计为1</w:t>
      </w:r>
      <w:r>
        <w:rPr>
          <w:rFonts w:hint="eastAsia" w:ascii="仿宋_GB2312" w:eastAsia="仿宋_GB2312"/>
          <w:color w:val="000000"/>
          <w:sz w:val="32"/>
          <w:szCs w:val="32"/>
          <w:lang w:val="en-US" w:eastAsia="zh-CN"/>
        </w:rPr>
        <w:t>8116</w:t>
      </w:r>
      <w:r>
        <w:rPr>
          <w:rFonts w:ascii="仿宋_GB2312" w:eastAsia="仿宋_GB2312"/>
          <w:color w:val="000000"/>
          <w:sz w:val="32"/>
          <w:szCs w:val="32"/>
        </w:rPr>
        <w:t>元，同比增长9.</w:t>
      </w:r>
      <w:r>
        <w:rPr>
          <w:rFonts w:hint="eastAsia" w:ascii="仿宋_GB2312" w:eastAsia="仿宋_GB2312"/>
          <w:color w:val="000000"/>
          <w:sz w:val="32"/>
          <w:szCs w:val="32"/>
          <w:lang w:val="en-US" w:eastAsia="zh-CN"/>
        </w:rPr>
        <w:t>1</w:t>
      </w:r>
      <w:r>
        <w:rPr>
          <w:rFonts w:ascii="仿宋_GB2312" w:eastAsia="仿宋_GB2312"/>
          <w:color w:val="000000"/>
          <w:sz w:val="32"/>
          <w:szCs w:val="32"/>
        </w:rPr>
        <w:t>%。</w:t>
      </w:r>
    </w:p>
    <w:p>
      <w:pPr>
        <w:widowControl/>
        <w:shd w:val="clear" w:color="auto" w:fill="FFFFFF"/>
        <w:snapToGrid w:val="0"/>
        <w:spacing w:line="540" w:lineRule="atLeast"/>
        <w:ind w:firstLine="643"/>
        <w:jc w:val="left"/>
        <w:rPr>
          <w:rFonts w:hint="eastAsia" w:ascii="黑体" w:hAnsi="黑体" w:eastAsia="黑体" w:cs="黑体"/>
          <w:color w:val="313131"/>
          <w:kern w:val="0"/>
          <w:sz w:val="32"/>
          <w:szCs w:val="32"/>
        </w:rPr>
      </w:pPr>
      <w:r>
        <w:rPr>
          <w:rFonts w:hint="eastAsia" w:ascii="黑体" w:hAnsi="黑体" w:eastAsia="黑体" w:cs="黑体"/>
          <w:b/>
          <w:bCs/>
          <w:color w:val="313131"/>
          <w:kern w:val="0"/>
          <w:sz w:val="32"/>
          <w:szCs w:val="32"/>
        </w:rPr>
        <w:t>四、存在的问题</w:t>
      </w:r>
    </w:p>
    <w:p>
      <w:pPr>
        <w:widowControl/>
        <w:shd w:val="clear" w:color="auto" w:fill="FFFFFF"/>
        <w:spacing w:line="300" w:lineRule="atLeast"/>
        <w:ind w:firstLine="640"/>
        <w:jc w:val="left"/>
        <w:rPr>
          <w:rFonts w:hint="eastAsia" w:ascii="仿宋_GB2312" w:hAnsi="仿宋_GB2312" w:eastAsia="仿宋_GB2312" w:cs="仿宋_GB2312"/>
          <w:color w:val="313131"/>
          <w:kern w:val="0"/>
          <w:sz w:val="32"/>
          <w:szCs w:val="32"/>
        </w:rPr>
      </w:pPr>
      <w:r>
        <w:rPr>
          <w:rFonts w:hint="eastAsia" w:ascii="仿宋_GB2312" w:hAnsi="仿宋_GB2312" w:eastAsia="仿宋_GB2312" w:cs="仿宋_GB2312"/>
          <w:color w:val="313131"/>
          <w:kern w:val="0"/>
          <w:sz w:val="32"/>
          <w:szCs w:val="32"/>
        </w:rPr>
        <w:t>对照绩效评价工作要求，</w:t>
      </w:r>
      <w:r>
        <w:rPr>
          <w:rFonts w:hint="eastAsia" w:ascii="仿宋_GB2312" w:hAnsi="仿宋_GB2312" w:eastAsia="仿宋_GB2312" w:cs="仿宋_GB2312"/>
          <w:color w:val="313131"/>
          <w:kern w:val="0"/>
          <w:sz w:val="32"/>
          <w:szCs w:val="32"/>
          <w:lang w:eastAsia="zh-CN"/>
        </w:rPr>
        <w:t>区统计局</w:t>
      </w:r>
      <w:r>
        <w:rPr>
          <w:rFonts w:hint="eastAsia" w:ascii="仿宋_GB2312" w:hAnsi="仿宋_GB2312" w:eastAsia="仿宋_GB2312" w:cs="仿宋_GB2312"/>
          <w:color w:val="313131"/>
          <w:kern w:val="0"/>
          <w:sz w:val="32"/>
          <w:szCs w:val="32"/>
        </w:rPr>
        <w:t>专门成立了自评领导小组，组织力量认真进行研究，贯彻落实，使绩效自评顺利开展，也取得良好效果。此外，在编制部门年度预算时，虽已以本单位职能职责和年度工作计划为根据，但在201</w:t>
      </w:r>
      <w:r>
        <w:rPr>
          <w:rFonts w:hint="eastAsia" w:ascii="仿宋_GB2312" w:hAnsi="仿宋_GB2312" w:eastAsia="仿宋_GB2312" w:cs="仿宋_GB2312"/>
          <w:color w:val="313131"/>
          <w:kern w:val="0"/>
          <w:sz w:val="32"/>
          <w:szCs w:val="32"/>
          <w:lang w:val="en-US" w:eastAsia="zh-CN"/>
        </w:rPr>
        <w:t>7</w:t>
      </w:r>
      <w:r>
        <w:rPr>
          <w:rFonts w:hint="eastAsia" w:ascii="仿宋_GB2312" w:hAnsi="仿宋_GB2312" w:eastAsia="仿宋_GB2312" w:cs="仿宋_GB2312"/>
          <w:color w:val="313131"/>
          <w:kern w:val="0"/>
          <w:sz w:val="32"/>
          <w:szCs w:val="32"/>
        </w:rPr>
        <w:t>年部门预算执行过程中，仍然存在由于上级交办统计调查监测任务的突发性，一些无法预计和列入年初预算的项目支出，需要在年度中间进行预算追加和调整的问题。</w:t>
      </w:r>
    </w:p>
    <w:p>
      <w:pPr>
        <w:widowControl/>
        <w:shd w:val="clear" w:color="auto" w:fill="FFFFFF"/>
        <w:snapToGrid w:val="0"/>
        <w:spacing w:line="540" w:lineRule="atLeast"/>
        <w:ind w:firstLine="643"/>
        <w:jc w:val="left"/>
        <w:rPr>
          <w:rFonts w:hint="eastAsia" w:ascii="宋体" w:hAnsi="宋体" w:cs="宋体"/>
          <w:color w:val="313131"/>
          <w:kern w:val="0"/>
          <w:sz w:val="18"/>
          <w:szCs w:val="18"/>
        </w:rPr>
      </w:pPr>
      <w:r>
        <w:rPr>
          <w:rFonts w:hint="eastAsia" w:ascii="黑体" w:hAnsi="黑体" w:eastAsia="黑体" w:cs="黑体"/>
          <w:b/>
          <w:bCs/>
          <w:color w:val="313131"/>
          <w:kern w:val="0"/>
          <w:sz w:val="32"/>
          <w:szCs w:val="32"/>
        </w:rPr>
        <w:t>五、</w:t>
      </w:r>
      <w:r>
        <w:rPr>
          <w:rFonts w:hint="eastAsia" w:ascii="黑体" w:hAnsi="黑体" w:eastAsia="黑体" w:cs="黑体"/>
          <w:b/>
          <w:bCs/>
          <w:color w:val="313131"/>
          <w:kern w:val="0"/>
          <w:sz w:val="32"/>
          <w:szCs w:val="32"/>
          <w:lang w:eastAsia="zh-CN"/>
        </w:rPr>
        <w:t>有关</w:t>
      </w:r>
      <w:r>
        <w:rPr>
          <w:rFonts w:hint="eastAsia" w:ascii="黑体" w:hAnsi="黑体" w:eastAsia="黑体" w:cs="黑体"/>
          <w:b/>
          <w:bCs/>
          <w:color w:val="313131"/>
          <w:kern w:val="0"/>
          <w:sz w:val="32"/>
          <w:szCs w:val="32"/>
        </w:rPr>
        <w:t>建议</w:t>
      </w:r>
    </w:p>
    <w:p>
      <w:pPr>
        <w:widowControl/>
        <w:shd w:val="clear" w:color="auto" w:fill="FFFFFF"/>
        <w:spacing w:line="300" w:lineRule="atLeast"/>
        <w:ind w:firstLine="640"/>
        <w:jc w:val="left"/>
        <w:rPr>
          <w:rFonts w:hint="eastAsia" w:ascii="仿宋_GB2312" w:hAnsi="仿宋_GB2312" w:eastAsia="仿宋_GB2312" w:cs="仿宋_GB2312"/>
          <w:color w:val="313131"/>
          <w:kern w:val="0"/>
          <w:sz w:val="32"/>
          <w:szCs w:val="32"/>
        </w:rPr>
      </w:pPr>
      <w:r>
        <w:rPr>
          <w:rFonts w:hint="eastAsia" w:ascii="仿宋_GB2312" w:hAnsi="仿宋_GB2312" w:eastAsia="仿宋_GB2312" w:cs="仿宋_GB2312"/>
          <w:color w:val="313131"/>
          <w:kern w:val="0"/>
          <w:sz w:val="32"/>
          <w:szCs w:val="32"/>
        </w:rPr>
        <w:t>今后</w:t>
      </w:r>
      <w:r>
        <w:rPr>
          <w:rFonts w:hint="eastAsia" w:ascii="仿宋_GB2312" w:hAnsi="仿宋_GB2312" w:eastAsia="仿宋_GB2312" w:cs="仿宋_GB2312"/>
          <w:color w:val="313131"/>
          <w:kern w:val="0"/>
          <w:sz w:val="32"/>
          <w:szCs w:val="32"/>
          <w:lang w:eastAsia="zh-CN"/>
        </w:rPr>
        <w:t>区统计</w:t>
      </w:r>
      <w:r>
        <w:rPr>
          <w:rFonts w:hint="eastAsia" w:ascii="仿宋_GB2312" w:hAnsi="仿宋_GB2312" w:eastAsia="仿宋_GB2312" w:cs="仿宋_GB2312"/>
          <w:color w:val="313131"/>
          <w:kern w:val="0"/>
          <w:sz w:val="32"/>
          <w:szCs w:val="32"/>
        </w:rPr>
        <w:t>局将进一步健全和完善财务管理制度及内部控制制度，规范和约束机关理财行为和程序，积极探索在新形势下部门预算、国库集中支付等财政支出改革的特点，不断更新管理思路，在规范财务收支和控制经费增长上，创新管理手段，用新思路、新方法，改进完善财务管理方法。按照财政支出绩效管理的要求，建立科学的财政资金效益考评制度体系，牢固树立行政成本意识，把绩效评价作为</w:t>
      </w:r>
      <w:r>
        <w:rPr>
          <w:rFonts w:hint="eastAsia" w:ascii="仿宋_GB2312" w:hAnsi="仿宋_GB2312" w:eastAsia="仿宋_GB2312" w:cs="仿宋_GB2312"/>
          <w:color w:val="313131"/>
          <w:kern w:val="0"/>
          <w:sz w:val="32"/>
          <w:szCs w:val="32"/>
          <w:lang w:eastAsia="zh-CN"/>
        </w:rPr>
        <w:t>区统计</w:t>
      </w:r>
      <w:r>
        <w:rPr>
          <w:rFonts w:hint="eastAsia" w:ascii="仿宋_GB2312" w:hAnsi="仿宋_GB2312" w:eastAsia="仿宋_GB2312" w:cs="仿宋_GB2312"/>
          <w:color w:val="313131"/>
          <w:kern w:val="0"/>
          <w:sz w:val="32"/>
          <w:szCs w:val="32"/>
        </w:rPr>
        <w:t>局的日常性工作，建立绩效评价管理工作考核的长效机制，不断提高财政资金使用管理的水平和效率。</w:t>
      </w:r>
    </w:p>
    <w:p>
      <w:pPr>
        <w:widowControl/>
        <w:shd w:val="clear" w:color="auto" w:fill="FFFFFF"/>
        <w:snapToGrid w:val="0"/>
        <w:spacing w:line="540" w:lineRule="atLeast"/>
        <w:ind w:firstLine="643"/>
        <w:jc w:val="left"/>
        <w:rPr>
          <w:rFonts w:hint="eastAsia" w:ascii="黑体" w:hAnsi="黑体" w:eastAsia="黑体" w:cs="黑体"/>
          <w:color w:val="313131"/>
          <w:kern w:val="0"/>
          <w:sz w:val="32"/>
          <w:szCs w:val="32"/>
        </w:rPr>
      </w:pPr>
      <w:r>
        <w:rPr>
          <w:rFonts w:hint="eastAsia" w:ascii="黑体" w:hAnsi="黑体" w:eastAsia="黑体" w:cs="黑体"/>
          <w:b/>
          <w:bCs/>
          <w:color w:val="313131"/>
          <w:kern w:val="0"/>
          <w:sz w:val="32"/>
          <w:szCs w:val="32"/>
        </w:rPr>
        <w:t>六、其他需要说明的问题</w:t>
      </w:r>
    </w:p>
    <w:p>
      <w:pPr>
        <w:pStyle w:val="6"/>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昆明</w:t>
      </w:r>
      <w:r>
        <w:rPr>
          <w:rFonts w:hint="eastAsia" w:ascii="仿宋_GB2312" w:hAnsi="仿宋_GB2312" w:eastAsia="仿宋_GB2312" w:cs="仿宋_GB2312"/>
          <w:b w:val="0"/>
          <w:bCs w:val="0"/>
          <w:color w:val="000000"/>
          <w:sz w:val="32"/>
          <w:szCs w:val="32"/>
          <w:lang w:eastAsia="zh-CN"/>
        </w:rPr>
        <w:t>市呈贡区统</w:t>
      </w:r>
      <w:r>
        <w:rPr>
          <w:rFonts w:hint="eastAsia" w:ascii="仿宋_GB2312" w:hAnsi="仿宋_GB2312" w:eastAsia="仿宋_GB2312" w:cs="仿宋_GB2312"/>
          <w:color w:val="000000"/>
          <w:sz w:val="32"/>
          <w:szCs w:val="32"/>
          <w:lang w:eastAsia="zh-CN"/>
        </w:rPr>
        <w:t>计局无其他需要说明的问题。</w:t>
      </w:r>
    </w:p>
    <w:p>
      <w:pPr>
        <w:snapToGrid w:val="0"/>
        <w:spacing w:line="560" w:lineRule="exact"/>
        <w:ind w:firstLine="640" w:firstLineChars="200"/>
        <w:rPr>
          <w:rFonts w:hint="eastAsia" w:ascii="仿宋_GB2312" w:hAnsi="仿宋" w:eastAsia="仿宋_GB2312"/>
          <w:sz w:val="32"/>
          <w:szCs w:val="32"/>
          <w:lang w:val="en-US" w:eastAsia="zh-CN"/>
        </w:rPr>
      </w:pPr>
    </w:p>
    <w:p>
      <w:pPr>
        <w:snapToGrid w:val="0"/>
        <w:spacing w:line="560" w:lineRule="exact"/>
        <w:ind w:firstLine="640" w:firstLineChars="200"/>
        <w:rPr>
          <w:rFonts w:hint="eastAsia" w:ascii="仿宋_GB2312" w:hAnsi="仿宋" w:eastAsia="仿宋_GB2312"/>
          <w:sz w:val="32"/>
          <w:szCs w:val="32"/>
          <w:lang w:val="en-US" w:eastAsia="zh-CN"/>
        </w:rPr>
      </w:pPr>
    </w:p>
    <w:p>
      <w:pPr>
        <w:snapToGrid w:val="0"/>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昆明市呈贡区统计局</w:t>
      </w:r>
    </w:p>
    <w:p>
      <w:pPr>
        <w:numPr>
          <w:ilvl w:val="0"/>
          <w:numId w:val="0"/>
        </w:num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1OWUwODI0ZmJmYjA2YzgyMjJkY2ZjZTM0Y2M2NGIifQ=="/>
  </w:docVars>
  <w:rsids>
    <w:rsidRoot w:val="79711FE6"/>
    <w:rsid w:val="02D76C97"/>
    <w:rsid w:val="1DD01831"/>
    <w:rsid w:val="283B2E44"/>
    <w:rsid w:val="49CA2DFE"/>
    <w:rsid w:val="4CB01720"/>
    <w:rsid w:val="79711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hint="eastAsia" w:ascii="宋体" w:hAnsi="宋体"/>
      <w:sz w:val="24"/>
    </w:rPr>
  </w:style>
  <w:style w:type="paragraph" w:customStyle="1" w:styleId="5">
    <w:name w:val="正文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6">
    <w:name w:val="p0"/>
    <w:basedOn w:val="1"/>
    <w:unhideWhenUsed/>
    <w:qFormat/>
    <w:uiPriority w:val="0"/>
    <w:pPr>
      <w:widowControl/>
    </w:pPr>
    <w:rPr>
      <w:rFonts w:hint="eastAsi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8569</Words>
  <Characters>9348</Characters>
  <Lines>0</Lines>
  <Paragraphs>0</Paragraphs>
  <TotalTime>2</TotalTime>
  <ScaleCrop>false</ScaleCrop>
  <LinksUpToDate>false</LinksUpToDate>
  <CharactersWithSpaces>9397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2018-04-25T06:12:00Z</dcterms:created>
  <dc:creator>Administrator</dc:creator>
  <cp:lastModifiedBy>Administrator</cp:lastModifiedBy>
  <dcterms:modified xsi:type="dcterms:W3CDTF">2023-05-23T04:11:09Z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3BF2B6BDC41745A3994ADFF65F2415C0_13</vt:lpwstr>
  </property>
</Properties>
</file>