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overflowPunct/>
        <w:topLinePunct w:val="0"/>
        <w:autoSpaceDE/>
        <w:autoSpaceDN/>
        <w:bidi w:val="0"/>
        <w:adjustRightInd/>
        <w:spacing w:before="0" w:after="0" w:line="582" w:lineRule="exact"/>
        <w:jc w:val="center"/>
        <w:textAlignment w:val="auto"/>
        <w:rPr>
          <w:rFonts w:hint="default" w:ascii="Times New Roman" w:hAnsi="Times New Roman" w:eastAsia="方正小标宋_GBK" w:cs="Times New Roman"/>
          <w:b w:val="0"/>
          <w:bCs/>
          <w:highlight w:val="none"/>
          <w:lang w:eastAsia="zh-CN"/>
        </w:rPr>
      </w:pPr>
      <w:bookmarkStart w:id="0" w:name="_GoBack"/>
      <w:bookmarkEnd w:id="0"/>
      <w:r>
        <w:rPr>
          <w:rFonts w:hint="default" w:ascii="Times New Roman" w:hAnsi="Times New Roman" w:eastAsia="方正小标宋_GBK" w:cs="Times New Roman"/>
          <w:b w:val="0"/>
          <w:bCs/>
          <w:highlight w:val="none"/>
          <w:lang w:eastAsia="zh-CN"/>
        </w:rPr>
        <w:t>昆明市呈贡区农业农村局</w:t>
      </w:r>
    </w:p>
    <w:p>
      <w:pPr>
        <w:pStyle w:val="3"/>
        <w:pageBreakBefore w:val="0"/>
        <w:kinsoku/>
        <w:overflowPunct/>
        <w:topLinePunct w:val="0"/>
        <w:autoSpaceDE/>
        <w:autoSpaceDN/>
        <w:bidi w:val="0"/>
        <w:adjustRightInd/>
        <w:spacing w:before="0" w:after="0" w:line="582" w:lineRule="exact"/>
        <w:jc w:val="center"/>
        <w:textAlignment w:val="auto"/>
        <w:rPr>
          <w:rFonts w:hint="default" w:ascii="Times New Roman" w:hAnsi="Times New Roman" w:eastAsia="方正小标宋_GBK" w:cs="Times New Roman"/>
          <w:b w:val="0"/>
          <w:bCs/>
          <w:highlight w:val="none"/>
          <w:lang w:eastAsia="zh-CN"/>
        </w:rPr>
      </w:pPr>
      <w:r>
        <w:rPr>
          <w:rFonts w:hint="default" w:ascii="Times New Roman" w:hAnsi="Times New Roman" w:eastAsia="方正小标宋_GBK" w:cs="Times New Roman"/>
          <w:b w:val="0"/>
          <w:bCs/>
          <w:highlight w:val="none"/>
          <w:lang w:eastAsia="zh-CN"/>
        </w:rPr>
        <w:t>解决历史遗留问题政府</w:t>
      </w:r>
      <w:r>
        <w:rPr>
          <w:rFonts w:hint="default" w:ascii="Times New Roman" w:hAnsi="Times New Roman" w:eastAsia="方正小标宋_GBK" w:cs="Times New Roman"/>
          <w:b w:val="0"/>
          <w:bCs/>
          <w:highlight w:val="none"/>
        </w:rPr>
        <w:t>购买服务计划</w:t>
      </w:r>
    </w:p>
    <w:p>
      <w:pPr>
        <w:pageBreakBefore w:val="0"/>
        <w:kinsoku/>
        <w:overflowPunct/>
        <w:topLinePunct w:val="0"/>
        <w:autoSpaceDE/>
        <w:autoSpaceDN/>
        <w:bidi w:val="0"/>
        <w:adjustRightInd/>
        <w:spacing w:line="582" w:lineRule="exact"/>
        <w:textAlignment w:val="auto"/>
        <w:rPr>
          <w:rFonts w:hint="default" w:ascii="Times New Roman" w:hAnsi="Times New Roman" w:eastAsia="仿宋" w:cs="Times New Roman"/>
          <w:b w:val="0"/>
          <w:bCs/>
          <w:sz w:val="32"/>
          <w:szCs w:val="32"/>
          <w:highlight w:val="none"/>
        </w:rPr>
      </w:pP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为妥善解决昆明市呈贡区良种繁殖场与昆明耕野农产品有限公司返还原物纠纷等历史遗留问题</w:t>
      </w:r>
      <w:r>
        <w:rPr>
          <w:rFonts w:hint="eastAsia"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起合同纠纷</w:t>
      </w:r>
      <w:r>
        <w:rPr>
          <w:rFonts w:hint="eastAsia" w:ascii="Times New Roman" w:hAnsi="Times New Roman" w:eastAsia="仿宋_GB2312" w:cs="Times New Roman"/>
          <w:b w:val="0"/>
          <w:bCs/>
          <w:sz w:val="32"/>
          <w:szCs w:val="32"/>
          <w:highlight w:val="none"/>
          <w:lang w:val="en-US" w:eastAsia="zh-CN"/>
        </w:rPr>
        <w:t>,</w:t>
      </w:r>
      <w:r>
        <w:rPr>
          <w:rFonts w:hint="eastAsia" w:ascii="仿宋_GB2312" w:hAnsi="仿宋_GB2312" w:eastAsia="仿宋_GB2312" w:cs="仿宋_GB2312"/>
          <w:b w:val="0"/>
          <w:bCs/>
          <w:sz w:val="32"/>
          <w:szCs w:val="32"/>
          <w:highlight w:val="none"/>
        </w:rPr>
        <w:t>根据昆明市财政局印发的《</w:t>
      </w:r>
      <w:r>
        <w:rPr>
          <w:rFonts w:hint="eastAsia" w:ascii="仿宋_GB2312" w:hAnsi="仿宋_GB2312" w:eastAsia="仿宋_GB2312" w:cs="仿宋_GB2312"/>
          <w:b w:val="0"/>
          <w:bCs w:val="0"/>
          <w:kern w:val="0"/>
          <w:sz w:val="32"/>
          <w:szCs w:val="32"/>
          <w:highlight w:val="none"/>
          <w:lang w:eastAsia="zh-CN"/>
        </w:rPr>
        <w:t>昆明市市本级政府购买服务指导性目录（2022年版）</w:t>
      </w:r>
      <w:r>
        <w:rPr>
          <w:rFonts w:hint="eastAsia" w:ascii="仿宋_GB2312" w:hAnsi="仿宋_GB2312" w:eastAsia="仿宋_GB2312" w:cs="仿宋_GB2312"/>
          <w:b w:val="0"/>
          <w:bCs/>
          <w:sz w:val="32"/>
          <w:szCs w:val="32"/>
          <w:highlight w:val="none"/>
        </w:rPr>
        <w:t>》（昆财</w:t>
      </w:r>
      <w:r>
        <w:rPr>
          <w:rFonts w:hint="eastAsia" w:ascii="仿宋_GB2312" w:hAnsi="仿宋_GB2312" w:eastAsia="仿宋_GB2312" w:cs="仿宋_GB2312"/>
          <w:b w:val="0"/>
          <w:bCs/>
          <w:sz w:val="32"/>
          <w:szCs w:val="32"/>
          <w:highlight w:val="none"/>
          <w:lang w:val="en-US" w:eastAsia="zh-CN"/>
        </w:rPr>
        <w:t>综</w:t>
      </w:r>
      <w:r>
        <w:rPr>
          <w:rFonts w:hint="eastAsia" w:ascii="仿宋_GB2312" w:hAnsi="仿宋_GB2312" w:eastAsia="仿宋_GB2312" w:cs="仿宋_GB2312"/>
          <w:b w:val="0"/>
          <w:bCs w:val="0"/>
          <w:kern w:val="0"/>
          <w:sz w:val="32"/>
          <w:szCs w:val="32"/>
          <w:highlight w:val="none"/>
          <w:lang w:eastAsia="zh-CN"/>
        </w:rPr>
        <w:t>〔2022〕46</w:t>
      </w:r>
      <w:r>
        <w:rPr>
          <w:rFonts w:hint="eastAsia" w:ascii="仿宋_GB2312" w:hAnsi="仿宋_GB2312" w:eastAsia="仿宋_GB2312" w:cs="仿宋_GB2312"/>
          <w:b w:val="0"/>
          <w:bCs/>
          <w:sz w:val="32"/>
          <w:szCs w:val="32"/>
          <w:highlight w:val="none"/>
        </w:rPr>
        <w:t>号）文件精神，</w:t>
      </w:r>
      <w:r>
        <w:rPr>
          <w:rFonts w:hint="default" w:ascii="Times New Roman" w:hAnsi="Times New Roman" w:eastAsia="仿宋_GB2312" w:cs="Times New Roman"/>
          <w:b w:val="0"/>
          <w:bCs/>
          <w:sz w:val="32"/>
          <w:szCs w:val="32"/>
          <w:highlight w:val="none"/>
          <w:lang w:eastAsia="zh-CN"/>
        </w:rPr>
        <w:t>昆明市呈贡区农业农村局</w:t>
      </w:r>
      <w:r>
        <w:rPr>
          <w:rFonts w:hint="default" w:ascii="Times New Roman" w:hAnsi="Times New Roman" w:eastAsia="仿宋_GB2312" w:cs="Times New Roman"/>
          <w:b w:val="0"/>
          <w:bCs/>
          <w:sz w:val="32"/>
          <w:szCs w:val="32"/>
          <w:highlight w:val="none"/>
        </w:rPr>
        <w:t>拟采用政府购买服务的方式，</w:t>
      </w:r>
      <w:r>
        <w:rPr>
          <w:rFonts w:hint="eastAsia" w:ascii="Times New Roman" w:hAnsi="Times New Roman" w:eastAsia="仿宋_GB2312" w:cs="Times New Roman"/>
          <w:b w:val="0"/>
          <w:bCs/>
          <w:sz w:val="32"/>
          <w:szCs w:val="32"/>
          <w:highlight w:val="none"/>
          <w:lang w:val="en-US" w:eastAsia="zh-CN"/>
        </w:rPr>
        <w:t>购买</w:t>
      </w:r>
      <w:r>
        <w:rPr>
          <w:rFonts w:hint="default" w:ascii="Times New Roman" w:hAnsi="Times New Roman" w:eastAsia="仿宋_GB2312" w:cs="Times New Roman"/>
          <w:b w:val="0"/>
          <w:bCs/>
          <w:sz w:val="32"/>
          <w:szCs w:val="32"/>
          <w:highlight w:val="none"/>
        </w:rPr>
        <w:t>法律服务</w:t>
      </w:r>
      <w:r>
        <w:rPr>
          <w:rFonts w:hint="default" w:ascii="Times New Roman" w:hAnsi="Times New Roman" w:eastAsia="仿宋_GB2312" w:cs="Times New Roman"/>
          <w:b w:val="0"/>
          <w:bCs/>
          <w:sz w:val="32"/>
          <w:szCs w:val="32"/>
          <w:highlight w:val="none"/>
          <w:lang w:eastAsia="zh-CN"/>
        </w:rPr>
        <w:t>，</w:t>
      </w:r>
      <w:r>
        <w:rPr>
          <w:rFonts w:hint="default" w:ascii="Times New Roman" w:hAnsi="Times New Roman" w:eastAsia="仿宋_GB2312" w:cs="Times New Roman"/>
          <w:b w:val="0"/>
          <w:bCs/>
          <w:sz w:val="32"/>
          <w:szCs w:val="32"/>
          <w:highlight w:val="none"/>
        </w:rPr>
        <w:t>编制购买服务计划如下：</w:t>
      </w:r>
    </w:p>
    <w:p>
      <w:pPr>
        <w:pStyle w:val="11"/>
        <w:pageBreakBefore w:val="0"/>
        <w:numPr>
          <w:ilvl w:val="0"/>
          <w:numId w:val="0"/>
        </w:numPr>
        <w:kinsoku/>
        <w:overflowPunct/>
        <w:topLinePunct w:val="0"/>
        <w:autoSpaceDE/>
        <w:autoSpaceDN/>
        <w:bidi w:val="0"/>
        <w:adjustRightInd/>
        <w:spacing w:line="582" w:lineRule="exact"/>
        <w:ind w:left="640" w:leftChars="0"/>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黑体" w:cs="Times New Roman"/>
          <w:b w:val="0"/>
          <w:bCs/>
          <w:sz w:val="32"/>
          <w:szCs w:val="32"/>
          <w:highlight w:val="none"/>
          <w:lang w:eastAsia="zh-CN"/>
        </w:rPr>
        <w:t>一、</w:t>
      </w:r>
      <w:r>
        <w:rPr>
          <w:rFonts w:hint="default" w:ascii="Times New Roman" w:hAnsi="Times New Roman" w:eastAsia="黑体" w:cs="Times New Roman"/>
          <w:b w:val="0"/>
          <w:bCs/>
          <w:sz w:val="32"/>
          <w:szCs w:val="32"/>
          <w:highlight w:val="none"/>
        </w:rPr>
        <w:t>项目名称</w:t>
      </w:r>
    </w:p>
    <w:p>
      <w:pPr>
        <w:pStyle w:val="11"/>
        <w:pageBreakBefore w:val="0"/>
        <w:kinsoku/>
        <w:overflowPunct/>
        <w:topLinePunct w:val="0"/>
        <w:autoSpaceDE/>
        <w:autoSpaceDN/>
        <w:bidi w:val="0"/>
        <w:adjustRightInd/>
        <w:spacing w:line="582" w:lineRule="exact"/>
        <w:textAlignment w:val="auto"/>
        <w:rPr>
          <w:rFonts w:hint="eastAsia" w:ascii="Times New Roman" w:hAnsi="Times New Roman" w:eastAsia="楷体_GB2312" w:cs="Times New Roman"/>
          <w:b w:val="0"/>
          <w:bCs/>
          <w:w w:val="98"/>
          <w:sz w:val="32"/>
          <w:szCs w:val="32"/>
          <w:highlight w:val="none"/>
          <w:lang w:val="en-US" w:eastAsia="zh-CN"/>
        </w:rPr>
      </w:pPr>
      <w:r>
        <w:rPr>
          <w:rFonts w:hint="default" w:ascii="Times New Roman" w:hAnsi="Times New Roman" w:eastAsia="楷体_GB2312" w:cs="Times New Roman"/>
          <w:b w:val="0"/>
          <w:bCs/>
          <w:w w:val="98"/>
          <w:sz w:val="32"/>
          <w:szCs w:val="32"/>
          <w:highlight w:val="none"/>
          <w:lang w:val="en-US" w:eastAsia="zh-CN"/>
        </w:rPr>
        <w:t>（一）解决区农业农村局历史遗留合同纠纷问题</w:t>
      </w:r>
      <w:r>
        <w:rPr>
          <w:rFonts w:hint="eastAsia" w:ascii="Times New Roman" w:hAnsi="Times New Roman" w:eastAsia="楷体_GB2312" w:cs="Times New Roman"/>
          <w:b w:val="0"/>
          <w:bCs/>
          <w:w w:val="98"/>
          <w:sz w:val="32"/>
          <w:szCs w:val="32"/>
          <w:highlight w:val="none"/>
          <w:lang w:val="en-US" w:eastAsia="zh-CN"/>
        </w:rPr>
        <w:t>法律服务</w:t>
      </w:r>
    </w:p>
    <w:p>
      <w:pPr>
        <w:pStyle w:val="11"/>
        <w:spacing w:line="582" w:lineRule="exact"/>
        <w:ind w:firstLine="560"/>
        <w:rPr>
          <w:rFonts w:hint="default" w:cs="楷体_GB2312" w:asciiTheme="minorEastAsia" w:hAnsiTheme="minorEastAsia" w:eastAsiaTheme="minorEastAsia"/>
          <w:bCs/>
          <w:sz w:val="28"/>
          <w:szCs w:val="28"/>
          <w:highlight w:val="cyan"/>
          <w:lang w:val="en-US" w:eastAsia="zh-CN"/>
        </w:rPr>
      </w:pPr>
      <w:r>
        <w:rPr>
          <w:rFonts w:hint="default" w:cs="楷体_GB2312" w:asciiTheme="minorEastAsia" w:hAnsiTheme="minorEastAsia" w:eastAsiaTheme="minorEastAsia"/>
          <w:bCs/>
          <w:sz w:val="28"/>
          <w:szCs w:val="28"/>
          <w:highlight w:val="cyan"/>
          <w:lang w:eastAsia="zh-CN"/>
        </w:rPr>
        <w:t>目录代码：</w:t>
      </w:r>
      <w:r>
        <w:rPr>
          <w:rFonts w:hint="eastAsia" w:cs="楷体_GB2312" w:asciiTheme="minorEastAsia" w:hAnsiTheme="minorEastAsia" w:eastAsiaTheme="minorEastAsia"/>
          <w:bCs/>
          <w:sz w:val="28"/>
          <w:szCs w:val="28"/>
          <w:highlight w:val="cyan"/>
          <w:lang w:val="en-US" w:eastAsia="zh-CN"/>
        </w:rPr>
        <w:t>B0103</w:t>
      </w:r>
    </w:p>
    <w:p>
      <w:pPr>
        <w:pStyle w:val="11"/>
        <w:spacing w:line="582" w:lineRule="exact"/>
        <w:ind w:firstLine="560"/>
        <w:rPr>
          <w:rFonts w:hint="eastAsia" w:cs="楷体_GB2312" w:asciiTheme="minorEastAsia" w:hAnsiTheme="minorEastAsia" w:eastAsiaTheme="minorEastAsia"/>
          <w:bCs/>
          <w:sz w:val="28"/>
          <w:szCs w:val="28"/>
          <w:highlight w:val="cyan"/>
          <w:lang w:val="en-US" w:eastAsia="zh-CN"/>
        </w:rPr>
      </w:pPr>
      <w:r>
        <w:rPr>
          <w:rFonts w:hint="default" w:cs="楷体_GB2312" w:asciiTheme="minorEastAsia" w:hAnsiTheme="minorEastAsia" w:eastAsiaTheme="minorEastAsia"/>
          <w:bCs/>
          <w:sz w:val="28"/>
          <w:szCs w:val="28"/>
          <w:highlight w:val="cyan"/>
          <w:lang w:val="en-US" w:eastAsia="zh-CN"/>
        </w:rPr>
        <w:t>目录名称：法律</w:t>
      </w:r>
      <w:r>
        <w:rPr>
          <w:rFonts w:hint="eastAsia" w:cs="楷体_GB2312" w:asciiTheme="minorEastAsia" w:hAnsiTheme="minorEastAsia" w:eastAsiaTheme="minorEastAsia"/>
          <w:bCs/>
          <w:sz w:val="28"/>
          <w:szCs w:val="28"/>
          <w:highlight w:val="cyan"/>
          <w:lang w:val="en-US" w:eastAsia="zh-CN"/>
        </w:rPr>
        <w:t>诉讼及其他争端解决服务</w:t>
      </w:r>
    </w:p>
    <w:p>
      <w:pPr>
        <w:pStyle w:val="11"/>
        <w:pageBreakBefore w:val="0"/>
        <w:kinsoku/>
        <w:overflowPunct/>
        <w:topLinePunct w:val="0"/>
        <w:autoSpaceDE/>
        <w:autoSpaceDN/>
        <w:bidi w:val="0"/>
        <w:adjustRightInd/>
        <w:spacing w:line="582" w:lineRule="exact"/>
        <w:textAlignment w:val="auto"/>
        <w:rPr>
          <w:rFonts w:hint="default" w:ascii="Times New Roman" w:hAnsi="Times New Roman" w:eastAsia="仿宋_GB2312" w:cs="Times New Roman"/>
          <w:b w:val="0"/>
          <w:bCs/>
          <w:w w:val="98"/>
          <w:sz w:val="32"/>
          <w:szCs w:val="32"/>
          <w:highlight w:val="none"/>
          <w:lang w:val="en-US" w:eastAsia="zh-CN"/>
        </w:rPr>
      </w:pPr>
      <w:r>
        <w:rPr>
          <w:rFonts w:hint="eastAsia" w:ascii="Times New Roman" w:hAnsi="Times New Roman" w:eastAsia="楷体_GB2312" w:cs="Times New Roman"/>
          <w:b w:val="0"/>
          <w:bCs/>
          <w:w w:val="98"/>
          <w:sz w:val="32"/>
          <w:szCs w:val="32"/>
          <w:highlight w:val="none"/>
          <w:lang w:val="en-US" w:eastAsia="zh-CN"/>
        </w:rPr>
        <w:t>(二）解决呈贡盛龙橡胶管带厂法律清算服务</w:t>
      </w:r>
    </w:p>
    <w:p>
      <w:pPr>
        <w:pStyle w:val="11"/>
        <w:spacing w:line="582" w:lineRule="exact"/>
        <w:ind w:firstLine="560"/>
        <w:rPr>
          <w:rFonts w:hint="eastAsia" w:cs="楷体_GB2312" w:asciiTheme="minorEastAsia" w:hAnsiTheme="minorEastAsia" w:eastAsiaTheme="minorEastAsia"/>
          <w:bCs/>
          <w:sz w:val="28"/>
          <w:szCs w:val="28"/>
          <w:highlight w:val="cyan"/>
          <w:lang w:val="en-US" w:eastAsia="zh-CN"/>
        </w:rPr>
      </w:pPr>
      <w:r>
        <w:rPr>
          <w:rFonts w:hint="default" w:cs="楷体_GB2312" w:asciiTheme="minorEastAsia" w:hAnsiTheme="minorEastAsia" w:eastAsiaTheme="minorEastAsia"/>
          <w:bCs/>
          <w:sz w:val="28"/>
          <w:szCs w:val="28"/>
          <w:highlight w:val="cyan"/>
          <w:lang w:eastAsia="zh-CN"/>
        </w:rPr>
        <w:t>目录代码：</w:t>
      </w:r>
      <w:r>
        <w:rPr>
          <w:rFonts w:hint="eastAsia" w:cs="楷体_GB2312" w:asciiTheme="minorEastAsia" w:hAnsiTheme="minorEastAsia" w:eastAsiaTheme="minorEastAsia"/>
          <w:bCs/>
          <w:sz w:val="28"/>
          <w:szCs w:val="28"/>
          <w:highlight w:val="cyan"/>
          <w:lang w:val="en-US" w:eastAsia="zh-CN"/>
        </w:rPr>
        <w:t>B0103</w:t>
      </w:r>
    </w:p>
    <w:p>
      <w:pPr>
        <w:pStyle w:val="11"/>
        <w:spacing w:line="582" w:lineRule="exact"/>
        <w:ind w:firstLine="560"/>
        <w:rPr>
          <w:rFonts w:hint="default" w:cs="楷体_GB2312" w:asciiTheme="minorEastAsia" w:hAnsiTheme="minorEastAsia" w:eastAsiaTheme="minorEastAsia"/>
          <w:bCs/>
          <w:sz w:val="28"/>
          <w:szCs w:val="28"/>
          <w:highlight w:val="cyan"/>
          <w:lang w:val="en-US" w:eastAsia="zh-CN"/>
        </w:rPr>
      </w:pPr>
      <w:r>
        <w:rPr>
          <w:rFonts w:hint="default" w:cs="楷体_GB2312" w:asciiTheme="minorEastAsia" w:hAnsiTheme="minorEastAsia" w:eastAsiaTheme="minorEastAsia"/>
          <w:bCs/>
          <w:sz w:val="28"/>
          <w:szCs w:val="28"/>
          <w:highlight w:val="cyan"/>
          <w:lang w:val="en-US" w:eastAsia="zh-CN"/>
        </w:rPr>
        <w:t>目录名称：法律</w:t>
      </w:r>
      <w:r>
        <w:rPr>
          <w:rFonts w:hint="eastAsia" w:cs="楷体_GB2312" w:asciiTheme="minorEastAsia" w:hAnsiTheme="minorEastAsia" w:eastAsiaTheme="minorEastAsia"/>
          <w:bCs/>
          <w:sz w:val="28"/>
          <w:szCs w:val="28"/>
          <w:highlight w:val="cyan"/>
          <w:lang w:val="en-US" w:eastAsia="zh-CN"/>
        </w:rPr>
        <w:t>诉讼及其他争端解决服务</w:t>
      </w:r>
    </w:p>
    <w:p>
      <w:pPr>
        <w:pStyle w:val="11"/>
        <w:pageBreakBefore w:val="0"/>
        <w:numPr>
          <w:ilvl w:val="0"/>
          <w:numId w:val="0"/>
        </w:numPr>
        <w:kinsoku/>
        <w:overflowPunct/>
        <w:topLinePunct w:val="0"/>
        <w:autoSpaceDE/>
        <w:autoSpaceDN/>
        <w:bidi w:val="0"/>
        <w:adjustRightInd/>
        <w:spacing w:line="582" w:lineRule="exact"/>
        <w:ind w:left="640" w:leftChars="0"/>
        <w:textAlignment w:val="auto"/>
        <w:rPr>
          <w:rFonts w:hint="default" w:ascii="Times New Roman" w:hAnsi="Times New Roman" w:eastAsia="黑体" w:cs="Times New Roman"/>
          <w:b w:val="0"/>
          <w:bCs/>
          <w:sz w:val="32"/>
          <w:szCs w:val="32"/>
          <w:highlight w:val="none"/>
          <w:lang w:eastAsia="zh-CN"/>
        </w:rPr>
      </w:pPr>
      <w:r>
        <w:rPr>
          <w:rFonts w:hint="default" w:ascii="Times New Roman" w:hAnsi="Times New Roman" w:eastAsia="黑体" w:cs="Times New Roman"/>
          <w:b w:val="0"/>
          <w:bCs/>
          <w:sz w:val="32"/>
          <w:szCs w:val="32"/>
          <w:highlight w:val="none"/>
          <w:lang w:eastAsia="zh-CN"/>
        </w:rPr>
        <w:t>二、购买主体</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highlight w:val="none"/>
          <w:lang w:eastAsia="zh-CN"/>
        </w:rPr>
      </w:pPr>
      <w:r>
        <w:rPr>
          <w:rFonts w:hint="default" w:ascii="Times New Roman" w:hAnsi="Times New Roman" w:eastAsia="仿宋_GB2312" w:cs="Times New Roman"/>
          <w:b w:val="0"/>
          <w:bCs/>
          <w:sz w:val="32"/>
          <w:szCs w:val="32"/>
          <w:highlight w:val="none"/>
        </w:rPr>
        <w:t>单位名称：</w:t>
      </w:r>
      <w:r>
        <w:rPr>
          <w:rFonts w:hint="default" w:ascii="Times New Roman" w:hAnsi="Times New Roman" w:eastAsia="仿宋_GB2312" w:cs="Times New Roman"/>
          <w:b w:val="0"/>
          <w:bCs/>
          <w:sz w:val="32"/>
          <w:szCs w:val="32"/>
          <w:highlight w:val="none"/>
          <w:lang w:eastAsia="zh-CN"/>
        </w:rPr>
        <w:t>昆明市呈贡区农业农村局</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仿宋_GB2312" w:cs="Times New Roman"/>
          <w:b w:val="0"/>
          <w:bCs/>
          <w:sz w:val="32"/>
          <w:szCs w:val="32"/>
          <w:highlight w:val="none"/>
          <w:lang w:eastAsia="zh-CN"/>
        </w:rPr>
      </w:pPr>
      <w:r>
        <w:rPr>
          <w:rFonts w:hint="default" w:ascii="Times New Roman" w:hAnsi="Times New Roman" w:eastAsia="黑体" w:cs="Times New Roman"/>
          <w:b w:val="0"/>
          <w:bCs/>
          <w:sz w:val="32"/>
          <w:szCs w:val="32"/>
          <w:highlight w:val="none"/>
          <w:lang w:eastAsia="zh-CN"/>
        </w:rPr>
        <w:t>三、购买主体单位性质</w:t>
      </w:r>
    </w:p>
    <w:p>
      <w:pPr>
        <w:pageBreakBefore w:val="0"/>
        <w:numPr>
          <w:ilvl w:val="0"/>
          <w:numId w:val="0"/>
        </w:numPr>
        <w:kinsoku/>
        <w:overflowPunct/>
        <w:topLinePunct w:val="0"/>
        <w:autoSpaceDE/>
        <w:autoSpaceDN/>
        <w:bidi w:val="0"/>
        <w:adjustRightInd/>
        <w:spacing w:line="582" w:lineRule="exact"/>
        <w:ind w:left="640" w:leftChars="0"/>
        <w:textAlignment w:val="auto"/>
        <w:rPr>
          <w:rFonts w:hint="default" w:ascii="Times New Roman" w:hAnsi="Times New Roman" w:eastAsia="仿宋_GB2312" w:cs="Times New Roman"/>
          <w:b w:val="0"/>
          <w:bCs/>
          <w:sz w:val="32"/>
          <w:szCs w:val="32"/>
          <w:highlight w:val="none"/>
          <w:lang w:eastAsia="zh-CN"/>
        </w:rPr>
      </w:pPr>
      <w:r>
        <w:rPr>
          <w:rFonts w:hint="default" w:ascii="Times New Roman" w:hAnsi="Times New Roman" w:eastAsia="仿宋_GB2312" w:cs="Times New Roman"/>
          <w:b w:val="0"/>
          <w:bCs/>
          <w:sz w:val="32"/>
          <w:szCs w:val="32"/>
          <w:highlight w:val="none"/>
          <w:lang w:eastAsia="zh-CN"/>
        </w:rPr>
        <w:t>行政机关</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黑体" w:cs="Times New Roman"/>
          <w:b w:val="0"/>
          <w:bCs/>
          <w:sz w:val="32"/>
          <w:szCs w:val="32"/>
          <w:highlight w:val="none"/>
          <w:lang w:eastAsia="zh-CN"/>
        </w:rPr>
        <w:t>四、</w:t>
      </w:r>
      <w:r>
        <w:rPr>
          <w:rFonts w:hint="default" w:ascii="Times New Roman" w:hAnsi="Times New Roman" w:eastAsia="黑体" w:cs="Times New Roman"/>
          <w:b w:val="0"/>
          <w:bCs/>
          <w:sz w:val="32"/>
          <w:szCs w:val="32"/>
          <w:highlight w:val="none"/>
          <w:lang w:val="en-US" w:eastAsia="zh-CN"/>
        </w:rPr>
        <w:t>项目概况</w:t>
      </w:r>
    </w:p>
    <w:p>
      <w:pPr>
        <w:pStyle w:val="2"/>
        <w:spacing w:line="360" w:lineRule="auto"/>
        <w:ind w:firstLine="48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lang w:val="en-US" w:eastAsia="zh-CN"/>
        </w:rPr>
        <w:t>本项目主要工作内容：</w:t>
      </w:r>
    </w:p>
    <w:p>
      <w:pPr>
        <w:pStyle w:val="2"/>
        <w:spacing w:line="360" w:lineRule="auto"/>
        <w:ind w:firstLine="48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lang w:val="en-US" w:eastAsia="zh-CN"/>
        </w:rPr>
        <w:t>（一）妥善解决昆明市呈贡区良种繁殖场与昆明耕野农产品有限公司返还原物纠纷等历史遗留问题</w:t>
      </w:r>
      <w:r>
        <w:rPr>
          <w:rFonts w:hint="eastAsia" w:ascii="Times New Roman" w:hAnsi="Times New Roman" w:eastAsia="楷体_GB2312" w:cs="Times New Roman"/>
          <w:b w:val="0"/>
          <w:bCs/>
          <w:sz w:val="32"/>
          <w:szCs w:val="32"/>
          <w:highlight w:val="none"/>
          <w:lang w:val="en-US" w:eastAsia="zh-CN"/>
        </w:rPr>
        <w:t>4</w:t>
      </w:r>
      <w:r>
        <w:rPr>
          <w:rFonts w:hint="default" w:ascii="Times New Roman" w:hAnsi="Times New Roman" w:eastAsia="楷体_GB2312" w:cs="Times New Roman"/>
          <w:b w:val="0"/>
          <w:bCs/>
          <w:sz w:val="32"/>
          <w:szCs w:val="32"/>
          <w:highlight w:val="none"/>
          <w:lang w:val="en-US" w:eastAsia="zh-CN"/>
        </w:rPr>
        <w:t>起合同纠纷。</w:t>
      </w:r>
    </w:p>
    <w:p>
      <w:pPr>
        <w:pStyle w:val="2"/>
        <w:spacing w:line="360" w:lineRule="auto"/>
        <w:ind w:firstLine="480"/>
        <w:rPr>
          <w:rFonts w:hint="default" w:ascii="Times New Roman" w:hAnsi="Times New Roman" w:eastAsia="楷体_GB2312" w:cs="Times New Roman"/>
          <w:b w:val="0"/>
          <w:bCs/>
          <w:sz w:val="32"/>
          <w:szCs w:val="32"/>
          <w:highlight w:val="none"/>
          <w:lang w:val="en-US" w:eastAsia="zh-CN"/>
        </w:rPr>
      </w:pPr>
      <w:r>
        <w:rPr>
          <w:rFonts w:hint="eastAsia" w:ascii="Times New Roman" w:hAnsi="Times New Roman" w:eastAsia="楷体_GB2312" w:cs="Times New Roman"/>
          <w:b w:val="0"/>
          <w:bCs/>
          <w:sz w:val="32"/>
          <w:szCs w:val="32"/>
          <w:highlight w:val="none"/>
          <w:lang w:val="en-US" w:eastAsia="zh-CN"/>
        </w:rPr>
        <w:t>（二）妥善解决呈贡盛龙橡胶管带厂法律清算</w:t>
      </w:r>
      <w:r>
        <w:rPr>
          <w:rFonts w:hint="default" w:ascii="Times New Roman" w:hAnsi="Times New Roman" w:eastAsia="楷体_GB2312" w:cs="Times New Roman"/>
          <w:b w:val="0"/>
          <w:bCs/>
          <w:sz w:val="32"/>
          <w:szCs w:val="32"/>
          <w:highlight w:val="none"/>
          <w:lang w:val="en-US" w:eastAsia="zh-CN"/>
        </w:rPr>
        <w:t>历史遗留问题</w:t>
      </w:r>
      <w:r>
        <w:rPr>
          <w:rFonts w:hint="eastAsia" w:ascii="Times New Roman" w:hAnsi="Times New Roman" w:eastAsia="楷体_GB2312" w:cs="Times New Roman"/>
          <w:b w:val="0"/>
          <w:bCs/>
          <w:sz w:val="32"/>
          <w:szCs w:val="32"/>
          <w:highlight w:val="none"/>
          <w:lang w:val="en-US" w:eastAsia="zh-CN"/>
        </w:rPr>
        <w:t>1</w:t>
      </w:r>
      <w:r>
        <w:rPr>
          <w:rFonts w:hint="default" w:ascii="Times New Roman" w:hAnsi="Times New Roman" w:eastAsia="楷体_GB2312" w:cs="Times New Roman"/>
          <w:b w:val="0"/>
          <w:bCs/>
          <w:sz w:val="32"/>
          <w:szCs w:val="32"/>
          <w:highlight w:val="none"/>
          <w:lang w:val="en-US" w:eastAsia="zh-CN"/>
        </w:rPr>
        <w:t>起</w:t>
      </w:r>
      <w:r>
        <w:rPr>
          <w:rFonts w:hint="eastAsia" w:ascii="Times New Roman" w:hAnsi="Times New Roman" w:eastAsia="楷体_GB2312" w:cs="Times New Roman"/>
          <w:b w:val="0"/>
          <w:bCs/>
          <w:sz w:val="32"/>
          <w:szCs w:val="32"/>
          <w:highlight w:val="none"/>
          <w:lang w:val="en-US" w:eastAsia="zh-CN"/>
        </w:rPr>
        <w:t>。</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黑体" w:cs="Times New Roman"/>
          <w:b w:val="0"/>
          <w:bCs/>
          <w:sz w:val="32"/>
          <w:szCs w:val="32"/>
          <w:highlight w:val="none"/>
          <w:lang w:eastAsia="zh-CN"/>
        </w:rPr>
      </w:pPr>
      <w:r>
        <w:rPr>
          <w:rFonts w:hint="default" w:ascii="Times New Roman" w:hAnsi="Times New Roman" w:eastAsia="黑体" w:cs="Times New Roman"/>
          <w:b w:val="0"/>
          <w:bCs/>
          <w:sz w:val="32"/>
          <w:szCs w:val="32"/>
          <w:highlight w:val="none"/>
          <w:lang w:eastAsia="zh-CN"/>
        </w:rPr>
        <w:t>五、预算资金</w:t>
      </w:r>
    </w:p>
    <w:p>
      <w:pPr>
        <w:pageBreakBefore w:val="0"/>
        <w:numPr>
          <w:ilvl w:val="0"/>
          <w:numId w:val="0"/>
        </w:numPr>
        <w:kinsoku/>
        <w:overflowPunct/>
        <w:topLinePunct w:val="0"/>
        <w:autoSpaceDE/>
        <w:autoSpaceDN/>
        <w:bidi w:val="0"/>
        <w:adjustRightInd/>
        <w:spacing w:line="582" w:lineRule="exact"/>
        <w:ind w:left="630" w:leftChars="0"/>
        <w:textAlignment w:val="auto"/>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lang w:eastAsia="zh-CN"/>
        </w:rPr>
        <w:t>（一</w:t>
      </w:r>
      <w:r>
        <w:rPr>
          <w:rFonts w:hint="eastAsia" w:ascii="楷体_GB2312" w:hAnsi="楷体_GB2312" w:eastAsia="楷体_GB2312" w:cs="楷体_GB2312"/>
          <w:b w:val="0"/>
          <w:bCs/>
          <w:sz w:val="32"/>
          <w:szCs w:val="32"/>
          <w:highlight w:val="none"/>
        </w:rPr>
        <w:t>）项目金额：</w:t>
      </w:r>
      <w:r>
        <w:rPr>
          <w:rFonts w:hint="eastAsia" w:ascii="楷体_GB2312" w:hAnsi="楷体_GB2312" w:eastAsia="楷体_GB2312" w:cs="楷体_GB2312"/>
          <w:b w:val="0"/>
          <w:bCs/>
          <w:sz w:val="32"/>
          <w:szCs w:val="32"/>
          <w:highlight w:val="none"/>
          <w:lang w:val="en-US" w:eastAsia="zh-CN"/>
        </w:rPr>
        <w:t>37</w:t>
      </w:r>
      <w:r>
        <w:rPr>
          <w:rFonts w:hint="eastAsia" w:ascii="楷体_GB2312" w:hAnsi="楷体_GB2312" w:eastAsia="楷体_GB2312" w:cs="楷体_GB2312"/>
          <w:b w:val="0"/>
          <w:bCs/>
          <w:sz w:val="32"/>
          <w:szCs w:val="32"/>
          <w:highlight w:val="none"/>
        </w:rPr>
        <w:t>万元。</w:t>
      </w:r>
    </w:p>
    <w:p>
      <w:pPr>
        <w:pageBreakBefore w:val="0"/>
        <w:kinsoku/>
        <w:overflowPunct/>
        <w:topLinePunct w:val="0"/>
        <w:autoSpaceDE/>
        <w:autoSpaceDN/>
        <w:bidi w:val="0"/>
        <w:adjustRightInd/>
        <w:spacing w:line="582" w:lineRule="exact"/>
        <w:ind w:firstLine="640" w:firstLineChars="200"/>
        <w:textAlignment w:val="auto"/>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lang w:eastAsia="zh-CN"/>
        </w:rPr>
        <w:t>（二</w:t>
      </w:r>
      <w:r>
        <w:rPr>
          <w:rFonts w:hint="eastAsia" w:ascii="楷体_GB2312" w:hAnsi="楷体_GB2312" w:eastAsia="楷体_GB2312" w:cs="楷体_GB2312"/>
          <w:b w:val="0"/>
          <w:bCs/>
          <w:sz w:val="32"/>
          <w:szCs w:val="32"/>
          <w:highlight w:val="none"/>
        </w:rPr>
        <w:t>）资金来源：</w:t>
      </w:r>
      <w:r>
        <w:rPr>
          <w:rFonts w:hint="eastAsia" w:ascii="楷体_GB2312" w:hAnsi="楷体_GB2312" w:eastAsia="楷体_GB2312" w:cs="楷体_GB2312"/>
          <w:b w:val="0"/>
          <w:bCs/>
          <w:sz w:val="32"/>
          <w:szCs w:val="32"/>
          <w:highlight w:val="none"/>
          <w:lang w:val="en-US" w:eastAsia="zh-CN"/>
        </w:rPr>
        <w:t>财政资金</w:t>
      </w:r>
      <w:r>
        <w:rPr>
          <w:rFonts w:hint="eastAsia" w:ascii="楷体_GB2312" w:hAnsi="楷体_GB2312" w:eastAsia="楷体_GB2312" w:cs="楷体_GB2312"/>
          <w:b w:val="0"/>
          <w:bCs/>
          <w:sz w:val="32"/>
          <w:szCs w:val="32"/>
          <w:highlight w:val="none"/>
          <w:lang w:eastAsia="zh-CN"/>
        </w:rPr>
        <w:t>。</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黑体" w:cs="Times New Roman"/>
          <w:b w:val="0"/>
          <w:bCs/>
          <w:sz w:val="32"/>
          <w:szCs w:val="32"/>
          <w:highlight w:val="none"/>
          <w:lang w:eastAsia="zh-CN"/>
        </w:rPr>
        <w:t>六、承接标准</w:t>
      </w:r>
    </w:p>
    <w:p>
      <w:pPr>
        <w:pStyle w:val="11"/>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b w:val="0"/>
          <w:bCs/>
          <w:spacing w:val="-6"/>
          <w:sz w:val="32"/>
          <w:szCs w:val="32"/>
          <w:highlight w:val="none"/>
          <w:lang w:val="en-US" w:eastAsia="zh-CN"/>
        </w:rPr>
      </w:pPr>
      <w:r>
        <w:rPr>
          <w:rFonts w:hint="default" w:ascii="Times New Roman" w:hAnsi="Times New Roman" w:eastAsia="仿宋_GB2312" w:cs="Times New Roman"/>
          <w:b w:val="0"/>
          <w:bCs/>
          <w:spacing w:val="-6"/>
          <w:sz w:val="32"/>
          <w:szCs w:val="32"/>
          <w:highlight w:val="none"/>
          <w:lang w:eastAsia="zh-CN"/>
        </w:rPr>
        <w:t>承接主体</w:t>
      </w:r>
      <w:r>
        <w:rPr>
          <w:rFonts w:hint="default" w:ascii="Times New Roman" w:hAnsi="Times New Roman" w:eastAsia="仿宋_GB2312" w:cs="Times New Roman"/>
          <w:b w:val="0"/>
          <w:bCs/>
          <w:spacing w:val="-6"/>
          <w:sz w:val="32"/>
          <w:szCs w:val="32"/>
          <w:highlight w:val="none"/>
        </w:rPr>
        <w:t>应具备</w:t>
      </w:r>
      <w:r>
        <w:rPr>
          <w:rFonts w:hint="default" w:ascii="Times New Roman" w:hAnsi="Times New Roman" w:eastAsia="仿宋_GB2312" w:cs="Times New Roman"/>
          <w:b w:val="0"/>
          <w:bCs/>
          <w:spacing w:val="-6"/>
          <w:sz w:val="32"/>
          <w:szCs w:val="32"/>
          <w:highlight w:val="none"/>
          <w:lang w:eastAsia="zh-CN"/>
        </w:rPr>
        <w:t>的</w:t>
      </w:r>
      <w:r>
        <w:rPr>
          <w:rFonts w:hint="default" w:ascii="Times New Roman" w:hAnsi="Times New Roman" w:eastAsia="仿宋_GB2312" w:cs="Times New Roman"/>
          <w:b w:val="0"/>
          <w:bCs/>
          <w:spacing w:val="-6"/>
          <w:sz w:val="32"/>
          <w:szCs w:val="32"/>
          <w:highlight w:val="none"/>
        </w:rPr>
        <w:t>条件</w:t>
      </w:r>
      <w:r>
        <w:rPr>
          <w:rFonts w:hint="default" w:ascii="Times New Roman" w:hAnsi="Times New Roman" w:eastAsia="仿宋_GB2312" w:cs="Times New Roman"/>
          <w:b w:val="0"/>
          <w:bCs/>
          <w:spacing w:val="-6"/>
          <w:sz w:val="32"/>
          <w:szCs w:val="32"/>
          <w:highlight w:val="none"/>
          <w:lang w:val="en-US" w:eastAsia="zh-CN"/>
        </w:rPr>
        <w:t>：</w:t>
      </w:r>
    </w:p>
    <w:p>
      <w:pPr>
        <w:pStyle w:val="11"/>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b w:val="0"/>
          <w:bCs/>
          <w:spacing w:val="-6"/>
          <w:sz w:val="32"/>
          <w:szCs w:val="32"/>
          <w:highlight w:val="none"/>
          <w:lang w:eastAsia="zh-CN"/>
        </w:rPr>
      </w:pPr>
      <w:r>
        <w:rPr>
          <w:rFonts w:hint="default" w:ascii="Times New Roman" w:hAnsi="Times New Roman" w:eastAsia="仿宋_GB2312" w:cs="Times New Roman"/>
          <w:b w:val="0"/>
          <w:bCs/>
          <w:spacing w:val="-6"/>
          <w:sz w:val="32"/>
          <w:szCs w:val="32"/>
          <w:highlight w:val="none"/>
          <w:lang w:val="en-US" w:eastAsia="zh-CN"/>
        </w:rPr>
        <w:t>1.</w:t>
      </w:r>
      <w:r>
        <w:rPr>
          <w:rFonts w:hint="default" w:ascii="Times New Roman" w:hAnsi="Times New Roman" w:eastAsia="仿宋_GB2312" w:cs="Times New Roman"/>
          <w:b w:val="0"/>
          <w:bCs/>
          <w:spacing w:val="-6"/>
          <w:sz w:val="32"/>
          <w:szCs w:val="32"/>
          <w:highlight w:val="none"/>
        </w:rPr>
        <w:t>供应商应符合《中华人民共和国政府采购法》第二十二条及《中华人民共和国政府采购法 实施条例》第十七条的要求</w:t>
      </w:r>
      <w:r>
        <w:rPr>
          <w:rFonts w:hint="default" w:ascii="Times New Roman" w:hAnsi="Times New Roman" w:eastAsia="仿宋_GB2312" w:cs="Times New Roman"/>
          <w:b w:val="0"/>
          <w:bCs/>
          <w:spacing w:val="-6"/>
          <w:sz w:val="32"/>
          <w:szCs w:val="32"/>
          <w:highlight w:val="none"/>
          <w:lang w:eastAsia="zh-CN"/>
        </w:rPr>
        <w:t>；</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highlight w:val="none"/>
        </w:rPr>
      </w:pPr>
      <w:r>
        <w:rPr>
          <w:rFonts w:hint="default" w:ascii="Times New Roman" w:hAnsi="Times New Roman" w:eastAsia="仿宋_GB2312" w:cs="Times New Roman"/>
          <w:b w:val="0"/>
          <w:bCs/>
          <w:spacing w:val="-6"/>
          <w:sz w:val="32"/>
          <w:szCs w:val="32"/>
          <w:highlight w:val="none"/>
          <w:lang w:val="en-US" w:eastAsia="zh-CN"/>
        </w:rPr>
        <w:t>2.</w:t>
      </w:r>
      <w:r>
        <w:rPr>
          <w:rFonts w:hint="default" w:ascii="Times New Roman" w:hAnsi="Times New Roman" w:eastAsia="仿宋_GB2312" w:cs="Times New Roman"/>
          <w:spacing w:val="-6"/>
          <w:sz w:val="32"/>
          <w:szCs w:val="32"/>
          <w:highlight w:val="none"/>
        </w:rPr>
        <w:t>依法登记设立，能独立承担民事责任；</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highlight w:val="none"/>
        </w:rPr>
      </w:pPr>
      <w:r>
        <w:rPr>
          <w:rFonts w:hint="default" w:ascii="Times New Roman" w:hAnsi="Times New Roman" w:eastAsia="仿宋_GB2312" w:cs="Times New Roman"/>
          <w:spacing w:val="-6"/>
          <w:sz w:val="32"/>
          <w:szCs w:val="32"/>
          <w:highlight w:val="none"/>
          <w:lang w:val="en-US" w:eastAsia="zh-CN"/>
        </w:rPr>
        <w:t>3</w:t>
      </w:r>
      <w:r>
        <w:rPr>
          <w:rFonts w:hint="default" w:ascii="Times New Roman" w:hAnsi="Times New Roman" w:eastAsia="仿宋_GB2312" w:cs="Times New Roman"/>
          <w:spacing w:val="-6"/>
          <w:sz w:val="32"/>
          <w:szCs w:val="32"/>
          <w:highlight w:val="none"/>
        </w:rPr>
        <w:t>.具有独立的财务管理、会计核算和资产管理制度；</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highlight w:val="none"/>
        </w:rPr>
      </w:pPr>
      <w:r>
        <w:rPr>
          <w:rFonts w:hint="default" w:ascii="Times New Roman" w:hAnsi="Times New Roman" w:eastAsia="仿宋_GB2312" w:cs="Times New Roman"/>
          <w:spacing w:val="-6"/>
          <w:sz w:val="32"/>
          <w:szCs w:val="32"/>
          <w:highlight w:val="none"/>
          <w:lang w:val="en-US" w:eastAsia="zh-CN"/>
        </w:rPr>
        <w:t>4</w:t>
      </w:r>
      <w:r>
        <w:rPr>
          <w:rFonts w:hint="default" w:ascii="Times New Roman" w:hAnsi="Times New Roman" w:eastAsia="仿宋_GB2312" w:cs="Times New Roman"/>
          <w:spacing w:val="-6"/>
          <w:sz w:val="32"/>
          <w:szCs w:val="32"/>
          <w:highlight w:val="none"/>
        </w:rPr>
        <w:t>.具备提供服务所必需的专业人员和专业技术能力；</w:t>
      </w:r>
    </w:p>
    <w:p>
      <w:pPr>
        <w:pStyle w:val="11"/>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b w:val="0"/>
          <w:bCs/>
          <w:spacing w:val="-6"/>
          <w:sz w:val="32"/>
          <w:szCs w:val="32"/>
          <w:highlight w:val="none"/>
          <w:lang w:val="en-US" w:eastAsia="zh-CN"/>
        </w:rPr>
      </w:pPr>
      <w:r>
        <w:rPr>
          <w:rFonts w:hint="default" w:ascii="Times New Roman" w:hAnsi="Times New Roman" w:eastAsia="仿宋_GB2312" w:cs="Times New Roman"/>
          <w:spacing w:val="-6"/>
          <w:sz w:val="32"/>
          <w:szCs w:val="32"/>
          <w:highlight w:val="none"/>
          <w:lang w:val="en-US" w:eastAsia="zh-CN"/>
        </w:rPr>
        <w:t>5</w:t>
      </w:r>
      <w:r>
        <w:rPr>
          <w:rFonts w:hint="default" w:ascii="Times New Roman" w:hAnsi="Times New Roman" w:eastAsia="仿宋_GB2312" w:cs="Times New Roman"/>
          <w:spacing w:val="-6"/>
          <w:sz w:val="32"/>
          <w:szCs w:val="32"/>
          <w:highlight w:val="none"/>
        </w:rPr>
        <w:t>.</w:t>
      </w:r>
      <w:r>
        <w:rPr>
          <w:rFonts w:hint="default" w:ascii="Times New Roman" w:hAnsi="Times New Roman" w:eastAsia="仿宋_GB2312" w:cs="Times New Roman"/>
          <w:b w:val="0"/>
          <w:bCs/>
          <w:spacing w:val="-6"/>
          <w:sz w:val="32"/>
          <w:szCs w:val="32"/>
          <w:highlight w:val="none"/>
        </w:rPr>
        <w:t>根据《财政部关于在政府采购活动中查询及使用信用记录有关问题的通知》(财库[2016]125号)相关要求，供应商应在“信用中国”网站(www.creditchina.gov.cn)未被列入失信被执行人记录</w:t>
      </w:r>
      <w:r>
        <w:rPr>
          <w:rFonts w:hint="default" w:ascii="Times New Roman" w:hAnsi="Times New Roman" w:eastAsia="仿宋_GB2312" w:cs="Times New Roman"/>
          <w:b w:val="0"/>
          <w:bCs/>
          <w:spacing w:val="-6"/>
          <w:sz w:val="32"/>
          <w:szCs w:val="32"/>
          <w:highlight w:val="none"/>
          <w:lang w:eastAsia="zh-CN"/>
        </w:rPr>
        <w:t>，</w:t>
      </w:r>
      <w:r>
        <w:rPr>
          <w:rFonts w:hint="default" w:ascii="Times New Roman" w:hAnsi="Times New Roman" w:eastAsia="仿宋_GB2312" w:cs="Times New Roman"/>
          <w:spacing w:val="-6"/>
          <w:sz w:val="32"/>
          <w:szCs w:val="32"/>
          <w:highlight w:val="none"/>
        </w:rPr>
        <w:t>参与政府购买服务竞争前资质审查合格，社会信誉、商业信誉良好</w:t>
      </w:r>
      <w:r>
        <w:rPr>
          <w:rFonts w:hint="default" w:ascii="Times New Roman" w:hAnsi="Times New Roman" w:eastAsia="仿宋_GB2312" w:cs="Times New Roman"/>
          <w:b w:val="0"/>
          <w:bCs/>
          <w:spacing w:val="-6"/>
          <w:sz w:val="32"/>
          <w:szCs w:val="32"/>
          <w:highlight w:val="none"/>
          <w:lang w:eastAsia="zh-CN"/>
        </w:rPr>
        <w:t>；</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b w:val="0"/>
          <w:bCs/>
          <w:spacing w:val="-6"/>
          <w:sz w:val="32"/>
          <w:szCs w:val="32"/>
          <w:highlight w:val="none"/>
        </w:rPr>
      </w:pPr>
      <w:r>
        <w:rPr>
          <w:rFonts w:hint="default" w:ascii="Times New Roman" w:hAnsi="Times New Roman" w:eastAsia="仿宋_GB2312" w:cs="Times New Roman"/>
          <w:spacing w:val="-6"/>
          <w:sz w:val="32"/>
          <w:szCs w:val="32"/>
          <w:highlight w:val="none"/>
          <w:lang w:val="en-US" w:eastAsia="zh-CN"/>
        </w:rPr>
        <w:t>6</w:t>
      </w:r>
      <w:r>
        <w:rPr>
          <w:rFonts w:hint="default" w:ascii="Times New Roman" w:hAnsi="Times New Roman" w:eastAsia="仿宋_GB2312" w:cs="Times New Roman"/>
          <w:spacing w:val="-6"/>
          <w:sz w:val="32"/>
          <w:szCs w:val="32"/>
          <w:highlight w:val="none"/>
        </w:rPr>
        <w:t>.参与人员能接受相关保密审查</w:t>
      </w:r>
      <w:r>
        <w:rPr>
          <w:rFonts w:hint="default" w:ascii="Times New Roman" w:hAnsi="Times New Roman" w:eastAsia="仿宋_GB2312" w:cs="Times New Roman"/>
          <w:spacing w:val="-6"/>
          <w:sz w:val="32"/>
          <w:szCs w:val="32"/>
          <w:highlight w:val="none"/>
          <w:lang w:val="en-US" w:eastAsia="zh-CN"/>
        </w:rPr>
        <w:t>等</w:t>
      </w:r>
      <w:r>
        <w:rPr>
          <w:rFonts w:hint="default" w:ascii="Times New Roman" w:hAnsi="Times New Roman" w:eastAsia="仿宋_GB2312" w:cs="Times New Roman"/>
          <w:spacing w:val="-6"/>
          <w:sz w:val="32"/>
          <w:szCs w:val="32"/>
          <w:highlight w:val="none"/>
        </w:rPr>
        <w:t>。</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黑体" w:cs="Times New Roman"/>
          <w:b w:val="0"/>
          <w:bCs/>
          <w:sz w:val="32"/>
          <w:szCs w:val="32"/>
          <w:highlight w:val="none"/>
          <w:lang w:eastAsia="zh-CN"/>
        </w:rPr>
        <w:t>七、目标要求</w:t>
      </w:r>
    </w:p>
    <w:p>
      <w:pPr>
        <w:keepNext w:val="0"/>
        <w:keepLines w:val="0"/>
        <w:pageBreakBefore w:val="0"/>
        <w:widowControl w:val="0"/>
        <w:kinsoku/>
        <w:wordWrap/>
        <w:overflowPunct/>
        <w:topLinePunct w:val="0"/>
        <w:autoSpaceDE/>
        <w:autoSpaceDN/>
        <w:bidi w:val="0"/>
        <w:adjustRightInd/>
        <w:spacing w:line="560" w:lineRule="exact"/>
        <w:ind w:left="0" w:right="0" w:firstLine="645"/>
        <w:jc w:val="left"/>
        <w:textAlignment w:val="baseline"/>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Hans"/>
        </w:rPr>
        <w:t>一</w:t>
      </w:r>
      <w:r>
        <w:rPr>
          <w:rFonts w:hint="eastAsia" w:ascii="华文仿宋" w:hAnsi="华文仿宋" w:eastAsia="华文仿宋" w:cs="华文仿宋"/>
          <w:sz w:val="32"/>
          <w:szCs w:val="32"/>
        </w:rPr>
        <w:t>）昆明市呈贡区良种繁殖场与昆明耕野农产品有限公司返还原物纠纷一案</w:t>
      </w:r>
      <w:r>
        <w:rPr>
          <w:rFonts w:hint="eastAsia" w:ascii="华文仿宋" w:hAnsi="华文仿宋" w:eastAsia="华文仿宋" w:cs="华文仿宋"/>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left="0" w:right="0" w:firstLine="645"/>
        <w:jc w:val="left"/>
        <w:textAlignment w:val="baseline"/>
        <w:rPr>
          <w:rFonts w:hint="eastAsia" w:ascii="华文仿宋" w:hAnsi="华文仿宋" w:eastAsia="华文仿宋" w:cs="华文仿宋"/>
          <w:sz w:val="32"/>
          <w:szCs w:val="32"/>
          <w:lang w:eastAsia="zh-CN"/>
        </w:rPr>
      </w:pPr>
      <w:r>
        <w:rPr>
          <w:rFonts w:ascii="华文仿宋" w:hAnsi="华文仿宋" w:eastAsia="华文仿宋" w:cs="华文仿宋"/>
          <w:sz w:val="32"/>
          <w:szCs w:val="32"/>
          <w:lang w:eastAsia="zh-Hans"/>
        </w:rPr>
        <w:t>（</w:t>
      </w:r>
      <w:r>
        <w:rPr>
          <w:rFonts w:hint="eastAsia" w:ascii="华文仿宋" w:hAnsi="华文仿宋" w:eastAsia="华文仿宋" w:cs="华文仿宋"/>
          <w:sz w:val="32"/>
          <w:szCs w:val="32"/>
          <w:lang w:eastAsia="zh-Hans"/>
        </w:rPr>
        <w:t>二</w:t>
      </w:r>
      <w:r>
        <w:rPr>
          <w:rFonts w:ascii="华文仿宋" w:hAnsi="华文仿宋" w:eastAsia="华文仿宋" w:cs="华文仿宋"/>
          <w:sz w:val="32"/>
          <w:szCs w:val="32"/>
          <w:lang w:eastAsia="zh-Hans"/>
        </w:rPr>
        <w:t>）</w:t>
      </w:r>
      <w:r>
        <w:rPr>
          <w:rFonts w:hint="eastAsia" w:ascii="华文仿宋" w:hAnsi="华文仿宋" w:eastAsia="华文仿宋" w:cs="华文仿宋"/>
          <w:sz w:val="32"/>
          <w:szCs w:val="32"/>
        </w:rPr>
        <w:t>昆明市呈贡区良种繁殖场与云南顺达经贸有限公司买卖合同纠纷</w:t>
      </w:r>
      <w:r>
        <w:rPr>
          <w:rFonts w:hint="eastAsia" w:ascii="华文仿宋" w:hAnsi="华文仿宋" w:eastAsia="华文仿宋" w:cs="华文仿宋"/>
          <w:sz w:val="32"/>
          <w:szCs w:val="32"/>
          <w:lang w:eastAsia="zh-Hans"/>
        </w:rPr>
        <w:t>一案</w:t>
      </w:r>
      <w:r>
        <w:rPr>
          <w:rFonts w:hint="eastAsia" w:ascii="华文仿宋" w:hAnsi="华文仿宋" w:eastAsia="华文仿宋" w:cs="华文仿宋"/>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left="0" w:right="0" w:firstLine="645"/>
        <w:jc w:val="left"/>
        <w:textAlignment w:val="baseline"/>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三</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呈贡</w:t>
      </w:r>
      <w:r>
        <w:rPr>
          <w:rFonts w:hint="eastAsia" w:ascii="华文仿宋" w:hAnsi="华文仿宋" w:eastAsia="华文仿宋" w:cs="华文仿宋"/>
          <w:sz w:val="32"/>
          <w:szCs w:val="32"/>
          <w:lang w:eastAsia="zh-Hans"/>
        </w:rPr>
        <w:t>区</w:t>
      </w:r>
      <w:r>
        <w:rPr>
          <w:rFonts w:hint="eastAsia" w:ascii="华文仿宋" w:hAnsi="华文仿宋" w:eastAsia="华文仿宋" w:cs="华文仿宋"/>
          <w:sz w:val="32"/>
          <w:szCs w:val="32"/>
        </w:rPr>
        <w:t>农业农村局与云南恒邦科技有限公司合同纠纷</w:t>
      </w:r>
      <w:r>
        <w:rPr>
          <w:rFonts w:hint="eastAsia" w:ascii="华文仿宋" w:hAnsi="华文仿宋" w:eastAsia="华文仿宋" w:cs="华文仿宋"/>
          <w:sz w:val="32"/>
          <w:szCs w:val="32"/>
          <w:lang w:eastAsia="zh-Hans"/>
        </w:rPr>
        <w:t>一案</w:t>
      </w:r>
      <w:r>
        <w:rPr>
          <w:rFonts w:hint="eastAsia" w:ascii="华文仿宋" w:hAnsi="华文仿宋" w:eastAsia="华文仿宋" w:cs="华文仿宋"/>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left="0" w:right="0" w:firstLine="645"/>
        <w:jc w:val="left"/>
        <w:textAlignment w:val="baseline"/>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四</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昆明市呈贡区良种繁殖场与林某某、李某某、呈贡兴良建材有限公司合同纠纷</w:t>
      </w:r>
      <w:r>
        <w:rPr>
          <w:rFonts w:hint="eastAsia" w:ascii="华文仿宋" w:hAnsi="华文仿宋" w:eastAsia="华文仿宋" w:cs="华文仿宋"/>
          <w:sz w:val="32"/>
          <w:szCs w:val="32"/>
          <w:lang w:val="en-US" w:eastAsia="zh-Hans"/>
        </w:rPr>
        <w:t>一案</w:t>
      </w:r>
      <w:r>
        <w:rPr>
          <w:rFonts w:hint="eastAsia" w:ascii="华文仿宋" w:hAnsi="华文仿宋" w:eastAsia="华文仿宋" w:cs="华文仿宋"/>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baseline"/>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（五）妥善解决昆明市呈贡区呈贡盛龙橡胶管带厂历史遗留问题清算服务1起；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baseline"/>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六</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服务方在开展工作中，需对</w:t>
      </w:r>
      <w:r>
        <w:rPr>
          <w:rFonts w:hint="eastAsia" w:ascii="华文仿宋" w:hAnsi="华文仿宋" w:eastAsia="华文仿宋" w:cs="华文仿宋"/>
          <w:sz w:val="32"/>
          <w:szCs w:val="32"/>
          <w:lang w:eastAsia="zh-CN"/>
        </w:rPr>
        <w:t>昆明市呈贡区农业农村局</w:t>
      </w:r>
      <w:r>
        <w:rPr>
          <w:rFonts w:hint="eastAsia" w:ascii="华文仿宋" w:hAnsi="华文仿宋" w:eastAsia="华文仿宋" w:cs="华文仿宋"/>
          <w:sz w:val="32"/>
          <w:szCs w:val="32"/>
        </w:rPr>
        <w:t>相关信息进行保密，未经</w:t>
      </w:r>
      <w:r>
        <w:rPr>
          <w:rFonts w:hint="eastAsia" w:ascii="华文仿宋" w:hAnsi="华文仿宋" w:eastAsia="华文仿宋" w:cs="华文仿宋"/>
          <w:sz w:val="32"/>
          <w:szCs w:val="32"/>
          <w:lang w:eastAsia="zh-CN"/>
        </w:rPr>
        <w:t>昆明市呈贡区农业农村局</w:t>
      </w:r>
      <w:r>
        <w:rPr>
          <w:rFonts w:hint="eastAsia" w:ascii="华文仿宋" w:hAnsi="华文仿宋" w:eastAsia="华文仿宋" w:cs="华文仿宋"/>
          <w:sz w:val="32"/>
          <w:szCs w:val="32"/>
        </w:rPr>
        <w:t>同意，不得以任何方式向第三方透露相关信息（法律规定的情形除外</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baseline"/>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七</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服务方在开展工作中，不得影响</w:t>
      </w:r>
      <w:r>
        <w:rPr>
          <w:rFonts w:hint="eastAsia" w:ascii="华文仿宋" w:hAnsi="华文仿宋" w:eastAsia="华文仿宋" w:cs="华文仿宋"/>
          <w:sz w:val="32"/>
          <w:szCs w:val="32"/>
          <w:lang w:eastAsia="zh-CN"/>
        </w:rPr>
        <w:t>昆明市呈贡区农业农村局</w:t>
      </w:r>
      <w:r>
        <w:rPr>
          <w:rFonts w:hint="eastAsia" w:ascii="华文仿宋" w:hAnsi="华文仿宋" w:eastAsia="华文仿宋" w:cs="华文仿宋"/>
          <w:sz w:val="32"/>
          <w:szCs w:val="32"/>
        </w:rPr>
        <w:t>正常工作的开展。</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黑体" w:cs="Times New Roman"/>
          <w:b w:val="0"/>
          <w:bCs/>
          <w:sz w:val="32"/>
          <w:szCs w:val="32"/>
          <w:highlight w:val="none"/>
          <w:lang w:eastAsia="zh-CN"/>
        </w:rPr>
      </w:pPr>
      <w:r>
        <w:rPr>
          <w:rFonts w:hint="default" w:ascii="Times New Roman" w:hAnsi="Times New Roman" w:eastAsia="黑体" w:cs="Times New Roman"/>
          <w:b w:val="0"/>
          <w:bCs/>
          <w:sz w:val="32"/>
          <w:szCs w:val="32"/>
          <w:highlight w:val="none"/>
          <w:lang w:eastAsia="zh-CN"/>
        </w:rPr>
        <w:t>八、购买方式</w:t>
      </w:r>
    </w:p>
    <w:p>
      <w:pPr>
        <w:pageBreakBefore w:val="0"/>
        <w:kinsoku/>
        <w:overflowPunct/>
        <w:topLinePunct w:val="0"/>
        <w:autoSpaceDE/>
        <w:autoSpaceDN/>
        <w:bidi w:val="0"/>
        <w:adjustRightInd/>
        <w:spacing w:line="582" w:lineRule="exact"/>
        <w:ind w:left="17" w:leftChars="8" w:firstLine="617" w:firstLineChars="193"/>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根据《云南省人民政府办公厅关于印发云南省政府集中采购目录及标准（2021年版）的通知》（云政办函〔2020〕115号）文件规定，集中采购以外且单项或批量金额在60万元（不含）以下的项目，不属于政府采购范围，由</w:t>
      </w:r>
      <w:r>
        <w:rPr>
          <w:rFonts w:hint="default" w:ascii="Times New Roman" w:hAnsi="Times New Roman" w:eastAsia="仿宋_GB2312" w:cs="Times New Roman"/>
          <w:b w:val="0"/>
          <w:bCs/>
          <w:sz w:val="32"/>
          <w:szCs w:val="32"/>
          <w:highlight w:val="none"/>
          <w:lang w:eastAsia="zh-CN"/>
        </w:rPr>
        <w:t>昆明市呈贡区农业农村局</w:t>
      </w:r>
      <w:r>
        <w:rPr>
          <w:rFonts w:hint="default" w:ascii="Times New Roman" w:hAnsi="Times New Roman" w:eastAsia="仿宋_GB2312" w:cs="Times New Roman"/>
          <w:b w:val="0"/>
          <w:bCs/>
          <w:sz w:val="32"/>
          <w:szCs w:val="32"/>
          <w:highlight w:val="none"/>
          <w:lang w:val="en-US" w:eastAsia="zh-CN"/>
        </w:rPr>
        <w:t>按照内控、财务制度执行</w:t>
      </w:r>
      <w:r>
        <w:rPr>
          <w:rFonts w:hint="eastAsia" w:ascii="Times New Roman" w:hAnsi="Times New Roman" w:eastAsia="仿宋_GB2312" w:cs="Times New Roman"/>
          <w:b w:val="0"/>
          <w:bCs/>
          <w:sz w:val="32"/>
          <w:szCs w:val="32"/>
          <w:highlight w:val="none"/>
          <w:lang w:val="en-US" w:eastAsia="zh-CN"/>
        </w:rPr>
        <w:t>，并委托第三方负责本次政府购买服务所有报名、评审、公示等工作</w:t>
      </w:r>
      <w:r>
        <w:rPr>
          <w:rFonts w:hint="default" w:ascii="Times New Roman" w:hAnsi="Times New Roman" w:eastAsia="仿宋_GB2312" w:cs="Times New Roman"/>
          <w:b w:val="0"/>
          <w:bCs/>
          <w:sz w:val="32"/>
          <w:szCs w:val="32"/>
          <w:highlight w:val="none"/>
          <w:lang w:val="en-US" w:eastAsia="zh-CN"/>
        </w:rPr>
        <w:t>。</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黑体" w:cs="Times New Roman"/>
          <w:b w:val="0"/>
          <w:bCs/>
          <w:kern w:val="2"/>
          <w:sz w:val="32"/>
          <w:szCs w:val="32"/>
          <w:highlight w:val="none"/>
          <w:lang w:val="en-US" w:eastAsia="zh-CN" w:bidi="ar-SA"/>
        </w:rPr>
        <w:t>九、资金支付方式</w:t>
      </w:r>
    </w:p>
    <w:p>
      <w:pPr>
        <w:pStyle w:val="11"/>
        <w:pageBreakBefore w:val="0"/>
        <w:kinsoku/>
        <w:overflowPunct/>
        <w:topLinePunct w:val="0"/>
        <w:autoSpaceDE/>
        <w:autoSpaceDN/>
        <w:bidi w:val="0"/>
        <w:adjustRightInd/>
        <w:spacing w:line="582" w:lineRule="exact"/>
        <w:ind w:left="0" w:leftChars="0" w:firstLine="640" w:firstLineChars="200"/>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按照签订购买服务协议内容支付服务费用。</w:t>
      </w:r>
    </w:p>
    <w:p>
      <w:pPr>
        <w:pStyle w:val="11"/>
        <w:pageBreakBefore w:val="0"/>
        <w:numPr>
          <w:ilvl w:val="0"/>
          <w:numId w:val="0"/>
        </w:numPr>
        <w:kinsoku/>
        <w:overflowPunct/>
        <w:topLinePunct w:val="0"/>
        <w:autoSpaceDE/>
        <w:autoSpaceDN/>
        <w:bidi w:val="0"/>
        <w:adjustRightInd/>
        <w:spacing w:line="582" w:lineRule="exact"/>
        <w:ind w:leftChars="200" w:firstLine="320" w:firstLineChars="100"/>
        <w:textAlignment w:val="auto"/>
        <w:rPr>
          <w:rFonts w:hint="default" w:ascii="Times New Roman" w:hAnsi="Times New Roman" w:eastAsia="黑体" w:cs="Times New Roman"/>
          <w:b w:val="0"/>
          <w:bCs/>
          <w:sz w:val="32"/>
          <w:szCs w:val="32"/>
          <w:highlight w:val="none"/>
          <w:lang w:val="en-US" w:eastAsia="zh-CN"/>
        </w:rPr>
      </w:pPr>
      <w:r>
        <w:rPr>
          <w:rFonts w:hint="default" w:ascii="Times New Roman" w:hAnsi="Times New Roman" w:eastAsia="黑体" w:cs="Times New Roman"/>
          <w:b w:val="0"/>
          <w:bCs/>
          <w:sz w:val="32"/>
          <w:szCs w:val="32"/>
          <w:highlight w:val="none"/>
          <w:lang w:val="en-US" w:eastAsia="zh-CN"/>
        </w:rPr>
        <w:t>十、</w:t>
      </w:r>
      <w:r>
        <w:rPr>
          <w:rFonts w:hint="eastAsia" w:ascii="Times New Roman" w:hAnsi="Times New Roman" w:eastAsia="黑体" w:cs="Times New Roman"/>
          <w:b w:val="0"/>
          <w:bCs/>
          <w:sz w:val="32"/>
          <w:szCs w:val="32"/>
          <w:highlight w:val="none"/>
          <w:lang w:val="en-US" w:eastAsia="zh-CN"/>
        </w:rPr>
        <w:t>公示时间</w:t>
      </w:r>
    </w:p>
    <w:p>
      <w:pPr>
        <w:pStyle w:val="11"/>
        <w:pageBreakBefore w:val="0"/>
        <w:numPr>
          <w:ilvl w:val="0"/>
          <w:numId w:val="0"/>
        </w:numPr>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公示期为2023年</w:t>
      </w:r>
      <w:r>
        <w:rPr>
          <w:rFonts w:hint="eastAsia"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月</w:t>
      </w:r>
      <w:r>
        <w:rPr>
          <w:rFonts w:hint="eastAsia" w:ascii="Times New Roman" w:hAnsi="Times New Roman" w:eastAsia="仿宋_GB2312" w:cs="Times New Roman"/>
          <w:b w:val="0"/>
          <w:bCs/>
          <w:sz w:val="32"/>
          <w:szCs w:val="32"/>
          <w:highlight w:val="none"/>
          <w:lang w:val="en-US" w:eastAsia="zh-CN"/>
        </w:rPr>
        <w:t>10</w:t>
      </w:r>
      <w:r>
        <w:rPr>
          <w:rFonts w:hint="default" w:ascii="Times New Roman" w:hAnsi="Times New Roman" w:eastAsia="仿宋_GB2312" w:cs="Times New Roman"/>
          <w:b w:val="0"/>
          <w:bCs/>
          <w:sz w:val="32"/>
          <w:szCs w:val="32"/>
          <w:highlight w:val="none"/>
          <w:lang w:val="en-US" w:eastAsia="zh-CN"/>
        </w:rPr>
        <w:t>日到</w:t>
      </w:r>
      <w:r>
        <w:rPr>
          <w:rFonts w:hint="eastAsia"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月</w:t>
      </w:r>
      <w:r>
        <w:rPr>
          <w:rFonts w:hint="eastAsia" w:ascii="Times New Roman" w:hAnsi="Times New Roman" w:eastAsia="仿宋_GB2312" w:cs="Times New Roman"/>
          <w:b w:val="0"/>
          <w:bCs/>
          <w:sz w:val="32"/>
          <w:szCs w:val="32"/>
          <w:highlight w:val="none"/>
          <w:lang w:val="en-US" w:eastAsia="zh-CN"/>
        </w:rPr>
        <w:t>18</w:t>
      </w:r>
      <w:r>
        <w:rPr>
          <w:rFonts w:hint="default" w:ascii="Times New Roman" w:hAnsi="Times New Roman" w:eastAsia="仿宋_GB2312" w:cs="Times New Roman"/>
          <w:b w:val="0"/>
          <w:bCs/>
          <w:sz w:val="32"/>
          <w:szCs w:val="32"/>
          <w:highlight w:val="none"/>
          <w:lang w:val="en-US" w:eastAsia="zh-CN"/>
        </w:rPr>
        <w:t>日。</w:t>
      </w:r>
    </w:p>
    <w:p>
      <w:pPr>
        <w:pStyle w:val="11"/>
        <w:pageBreakBefore w:val="0"/>
        <w:kinsoku/>
        <w:wordWrap w:val="0"/>
        <w:overflowPunct/>
        <w:topLinePunct w:val="0"/>
        <w:autoSpaceDE/>
        <w:autoSpaceDN/>
        <w:bidi w:val="0"/>
        <w:adjustRightInd/>
        <w:spacing w:line="582" w:lineRule="exact"/>
        <w:ind w:right="640"/>
        <w:jc w:val="right"/>
        <w:textAlignment w:val="auto"/>
        <w:rPr>
          <w:rFonts w:hint="default" w:ascii="Times New Roman" w:hAnsi="Times New Roman" w:eastAsia="仿宋_GB2312" w:cs="Times New Roman"/>
          <w:b w:val="0"/>
          <w:bCs/>
          <w:sz w:val="32"/>
          <w:szCs w:val="32"/>
          <w:highlight w:val="none"/>
          <w:lang w:eastAsia="zh-CN"/>
        </w:rPr>
      </w:pPr>
    </w:p>
    <w:p>
      <w:pPr>
        <w:pStyle w:val="11"/>
        <w:pageBreakBefore w:val="0"/>
        <w:kinsoku/>
        <w:wordWrap w:val="0"/>
        <w:overflowPunct/>
        <w:topLinePunct w:val="0"/>
        <w:autoSpaceDE/>
        <w:autoSpaceDN/>
        <w:bidi w:val="0"/>
        <w:adjustRightInd/>
        <w:spacing w:line="582" w:lineRule="exact"/>
        <w:ind w:right="640"/>
        <w:jc w:val="right"/>
        <w:textAlignment w:val="auto"/>
        <w:rPr>
          <w:rFonts w:hint="default" w:ascii="Times New Roman" w:hAnsi="Times New Roman" w:eastAsia="仿宋_GB2312" w:cs="Times New Roman"/>
          <w:b w:val="0"/>
          <w:bCs/>
          <w:sz w:val="32"/>
          <w:szCs w:val="32"/>
          <w:highlight w:val="none"/>
          <w:lang w:eastAsia="zh-CN"/>
        </w:rPr>
      </w:pPr>
      <w:r>
        <w:rPr>
          <w:sz w:val="32"/>
        </w:rPr>
        <w:pict>
          <v:shape id="_x0000_s1026" o:spid="_x0000_s1026" o:spt="201" type="#_x0000_t201" style="position:absolute;left:0pt;margin-left:248.25pt;margin-top:6.6pt;height:128pt;width:128pt;z-index:251658240;mso-width-relative:page;mso-height-relative:page;" o:ole="t" filled="f" o:preferrelative="t" stroked="f" coordsize="21600,21600">
            <v:path/>
            <v:fill on="f" focussize="0,0"/>
            <v:stroke on="f"/>
            <v:imagedata r:id="rId7" o:title=""/>
            <o:lock v:ext="edit" aspectratio="f"/>
          </v:shape>
          <w:control r:id="rId6" w:name="CWordOLECtrl1" w:shapeid="_x0000_s1026"/>
        </w:pict>
      </w:r>
    </w:p>
    <w:p>
      <w:pPr>
        <w:pStyle w:val="11"/>
        <w:pageBreakBefore w:val="0"/>
        <w:kinsoku/>
        <w:wordWrap w:val="0"/>
        <w:overflowPunct/>
        <w:topLinePunct w:val="0"/>
        <w:autoSpaceDE/>
        <w:autoSpaceDN/>
        <w:bidi w:val="0"/>
        <w:adjustRightInd/>
        <w:spacing w:line="582" w:lineRule="exact"/>
        <w:ind w:right="640"/>
        <w:jc w:val="right"/>
        <w:textAlignment w:val="auto"/>
        <w:rPr>
          <w:rFonts w:hint="default" w:ascii="Times New Roman" w:hAnsi="Times New Roman" w:eastAsia="仿宋_GB2312" w:cs="Times New Roman"/>
          <w:b w:val="0"/>
          <w:bCs/>
          <w:sz w:val="32"/>
          <w:szCs w:val="32"/>
          <w:highlight w:val="none"/>
          <w:lang w:eastAsia="zh-CN"/>
        </w:rPr>
      </w:pPr>
    </w:p>
    <w:p>
      <w:pPr>
        <w:pStyle w:val="11"/>
        <w:pageBreakBefore w:val="0"/>
        <w:kinsoku/>
        <w:wordWrap w:val="0"/>
        <w:overflowPunct/>
        <w:topLinePunct w:val="0"/>
        <w:autoSpaceDE/>
        <w:autoSpaceDN/>
        <w:bidi w:val="0"/>
        <w:adjustRightInd/>
        <w:spacing w:line="582" w:lineRule="exact"/>
        <w:ind w:right="640"/>
        <w:jc w:val="righ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sz w:val="32"/>
          <w:szCs w:val="32"/>
          <w:highlight w:val="none"/>
          <w:lang w:eastAsia="zh-CN"/>
        </w:rPr>
        <w:t>昆明市呈贡区农业农村局</w:t>
      </w:r>
      <w:r>
        <w:rPr>
          <w:rFonts w:hint="default" w:ascii="Times New Roman" w:hAnsi="Times New Roman" w:eastAsia="仿宋_GB2312" w:cs="Times New Roman"/>
          <w:sz w:val="32"/>
          <w:szCs w:val="32"/>
          <w:highlight w:val="none"/>
          <w:lang w:val="en-US" w:eastAsia="zh-CN"/>
        </w:rPr>
        <w:t xml:space="preserve"> </w:t>
      </w:r>
    </w:p>
    <w:p>
      <w:pPr>
        <w:pStyle w:val="11"/>
        <w:pageBreakBefore w:val="0"/>
        <w:kinsoku/>
        <w:wordWrap w:val="0"/>
        <w:overflowPunct/>
        <w:topLinePunct w:val="0"/>
        <w:autoSpaceDE/>
        <w:autoSpaceDN/>
        <w:bidi w:val="0"/>
        <w:adjustRightInd/>
        <w:spacing w:line="582" w:lineRule="exact"/>
        <w:ind w:firstLine="640"/>
        <w:jc w:val="right"/>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_GB2312" w:cs="Times New Roman"/>
          <w:b w:val="0"/>
          <w:bCs/>
          <w:sz w:val="32"/>
          <w:szCs w:val="32"/>
          <w:highlight w:val="none"/>
        </w:rPr>
        <w:t>202</w:t>
      </w:r>
      <w:r>
        <w:rPr>
          <w:rFonts w:hint="default" w:ascii="Times New Roman" w:hAnsi="Times New Roman"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rPr>
        <w:t>年</w:t>
      </w:r>
      <w:r>
        <w:rPr>
          <w:rFonts w:hint="eastAsia"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rPr>
        <w:t>月</w:t>
      </w:r>
      <w:r>
        <w:rPr>
          <w:rFonts w:hint="eastAsia" w:ascii="Times New Roman" w:hAnsi="Times New Roman" w:eastAsia="仿宋_GB2312" w:cs="Times New Roman"/>
          <w:b w:val="0"/>
          <w:bCs/>
          <w:sz w:val="32"/>
          <w:szCs w:val="32"/>
          <w:highlight w:val="none"/>
          <w:lang w:val="en-US" w:eastAsia="zh-CN"/>
        </w:rPr>
        <w:t>10</w:t>
      </w:r>
      <w:r>
        <w:rPr>
          <w:rFonts w:hint="default" w:ascii="Times New Roman" w:hAnsi="Times New Roman" w:eastAsia="仿宋_GB2312" w:cs="Times New Roman"/>
          <w:b w:val="0"/>
          <w:bCs/>
          <w:sz w:val="32"/>
          <w:szCs w:val="32"/>
          <w:highlight w:val="none"/>
        </w:rPr>
        <w:t>日</w:t>
      </w:r>
      <w:r>
        <w:rPr>
          <w:rFonts w:hint="default" w:ascii="Times New Roman" w:hAnsi="Times New Roman" w:eastAsia="仿宋_GB2312" w:cs="Times New Roman"/>
          <w:b w:val="0"/>
          <w:bCs/>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 xml:space="preserve">     </w:t>
      </w:r>
    </w:p>
    <w:sectPr>
      <w:headerReference r:id="rId3" w:type="default"/>
      <w:footerReference r:id="rId4"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dit="forms" w:enforcement="1" w:cryptProviderType="rsaFull" w:cryptAlgorithmClass="hash" w:cryptAlgorithmType="typeAny" w:cryptAlgorithmSid="4" w:cryptSpinCount="0" w:hash="qGbvZAvdTUv+Mnrcz5g4TMCyflk=" w:salt="ugpPuGmz4eDnVKTlojqJJg=="/>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mY2YxM2QyNGI3MGMyYWJiNWFmYjE5MTU2YWVlMTIifQ=="/>
  </w:docVars>
  <w:rsids>
    <w:rsidRoot w:val="00000000"/>
    <w:rsid w:val="000050D9"/>
    <w:rsid w:val="00035A4C"/>
    <w:rsid w:val="00462DE4"/>
    <w:rsid w:val="01227ED1"/>
    <w:rsid w:val="01A622A5"/>
    <w:rsid w:val="01C079EB"/>
    <w:rsid w:val="02FF41BD"/>
    <w:rsid w:val="03072D85"/>
    <w:rsid w:val="031C33C4"/>
    <w:rsid w:val="033E754C"/>
    <w:rsid w:val="0367010D"/>
    <w:rsid w:val="038D2599"/>
    <w:rsid w:val="0405454D"/>
    <w:rsid w:val="04277218"/>
    <w:rsid w:val="053F36DE"/>
    <w:rsid w:val="065C69BF"/>
    <w:rsid w:val="06895D6D"/>
    <w:rsid w:val="078F606C"/>
    <w:rsid w:val="07D61273"/>
    <w:rsid w:val="08E06C2F"/>
    <w:rsid w:val="0A1B28A5"/>
    <w:rsid w:val="0B5B0024"/>
    <w:rsid w:val="0BD201B9"/>
    <w:rsid w:val="0C714212"/>
    <w:rsid w:val="0C7F459D"/>
    <w:rsid w:val="0E7C2E69"/>
    <w:rsid w:val="0FAE1B53"/>
    <w:rsid w:val="10834537"/>
    <w:rsid w:val="108A29CF"/>
    <w:rsid w:val="114C0759"/>
    <w:rsid w:val="12272C18"/>
    <w:rsid w:val="124A5C3B"/>
    <w:rsid w:val="127506AB"/>
    <w:rsid w:val="12A75BDD"/>
    <w:rsid w:val="12FA7092"/>
    <w:rsid w:val="13351901"/>
    <w:rsid w:val="14295835"/>
    <w:rsid w:val="147C1514"/>
    <w:rsid w:val="154C05AB"/>
    <w:rsid w:val="15806A43"/>
    <w:rsid w:val="15A14134"/>
    <w:rsid w:val="15A57FEA"/>
    <w:rsid w:val="163E2151"/>
    <w:rsid w:val="1761344B"/>
    <w:rsid w:val="18253FE6"/>
    <w:rsid w:val="182B02B2"/>
    <w:rsid w:val="18E45C3C"/>
    <w:rsid w:val="1A487E64"/>
    <w:rsid w:val="1B846E3D"/>
    <w:rsid w:val="1B8C1F66"/>
    <w:rsid w:val="1C842D45"/>
    <w:rsid w:val="1D223260"/>
    <w:rsid w:val="1D233896"/>
    <w:rsid w:val="1D6629B8"/>
    <w:rsid w:val="1D9947D1"/>
    <w:rsid w:val="1DE302A5"/>
    <w:rsid w:val="1E150D4F"/>
    <w:rsid w:val="1E37640E"/>
    <w:rsid w:val="1E550D41"/>
    <w:rsid w:val="1ED96987"/>
    <w:rsid w:val="1FF325C6"/>
    <w:rsid w:val="20114538"/>
    <w:rsid w:val="203E0F6F"/>
    <w:rsid w:val="20C2673D"/>
    <w:rsid w:val="20C5712D"/>
    <w:rsid w:val="20F82CA9"/>
    <w:rsid w:val="215326C4"/>
    <w:rsid w:val="21AB5369"/>
    <w:rsid w:val="21C02F91"/>
    <w:rsid w:val="22A645CF"/>
    <w:rsid w:val="2302084B"/>
    <w:rsid w:val="234E78BE"/>
    <w:rsid w:val="23B71190"/>
    <w:rsid w:val="253D48A6"/>
    <w:rsid w:val="254E5EFF"/>
    <w:rsid w:val="255F1C9E"/>
    <w:rsid w:val="25E249A4"/>
    <w:rsid w:val="262B3CCC"/>
    <w:rsid w:val="262D5019"/>
    <w:rsid w:val="26FF35E0"/>
    <w:rsid w:val="270D26C8"/>
    <w:rsid w:val="276E4ED0"/>
    <w:rsid w:val="27E60306"/>
    <w:rsid w:val="27FB220B"/>
    <w:rsid w:val="29231E2B"/>
    <w:rsid w:val="293332BA"/>
    <w:rsid w:val="29831F24"/>
    <w:rsid w:val="2A4E3C55"/>
    <w:rsid w:val="2A7C22AD"/>
    <w:rsid w:val="2A8F17B5"/>
    <w:rsid w:val="2B7E0B78"/>
    <w:rsid w:val="2CFE7BEB"/>
    <w:rsid w:val="2DC36E38"/>
    <w:rsid w:val="2DD5008E"/>
    <w:rsid w:val="2DDF3280"/>
    <w:rsid w:val="2E7F407D"/>
    <w:rsid w:val="2EA46069"/>
    <w:rsid w:val="2FE454FB"/>
    <w:rsid w:val="30540B80"/>
    <w:rsid w:val="30883321"/>
    <w:rsid w:val="319810C1"/>
    <w:rsid w:val="31E25395"/>
    <w:rsid w:val="31E336D2"/>
    <w:rsid w:val="31F86B34"/>
    <w:rsid w:val="32493444"/>
    <w:rsid w:val="33D14DD2"/>
    <w:rsid w:val="34602301"/>
    <w:rsid w:val="34B211DB"/>
    <w:rsid w:val="3597427E"/>
    <w:rsid w:val="36C20CE1"/>
    <w:rsid w:val="37950AAD"/>
    <w:rsid w:val="3811759B"/>
    <w:rsid w:val="381B4ADB"/>
    <w:rsid w:val="38201F77"/>
    <w:rsid w:val="38216479"/>
    <w:rsid w:val="3906275F"/>
    <w:rsid w:val="39ED190F"/>
    <w:rsid w:val="3A02391B"/>
    <w:rsid w:val="3A726D2B"/>
    <w:rsid w:val="3B050CA8"/>
    <w:rsid w:val="3B132938"/>
    <w:rsid w:val="3B7262E8"/>
    <w:rsid w:val="3C641068"/>
    <w:rsid w:val="3CE33A89"/>
    <w:rsid w:val="3D1C0EEC"/>
    <w:rsid w:val="3DA41BEE"/>
    <w:rsid w:val="3DC34556"/>
    <w:rsid w:val="3E31762C"/>
    <w:rsid w:val="3E8E03BD"/>
    <w:rsid w:val="3EC844E2"/>
    <w:rsid w:val="3ED174DD"/>
    <w:rsid w:val="3EF4592A"/>
    <w:rsid w:val="3F611379"/>
    <w:rsid w:val="3FBC5893"/>
    <w:rsid w:val="3FD5670C"/>
    <w:rsid w:val="408D1222"/>
    <w:rsid w:val="409D4E42"/>
    <w:rsid w:val="421179A2"/>
    <w:rsid w:val="4242728F"/>
    <w:rsid w:val="432B0CC5"/>
    <w:rsid w:val="4370420D"/>
    <w:rsid w:val="43E60503"/>
    <w:rsid w:val="440A7C4F"/>
    <w:rsid w:val="45675A45"/>
    <w:rsid w:val="46871F0F"/>
    <w:rsid w:val="46C558DD"/>
    <w:rsid w:val="470D3AA1"/>
    <w:rsid w:val="4885351D"/>
    <w:rsid w:val="48A2078D"/>
    <w:rsid w:val="48DE2CA2"/>
    <w:rsid w:val="491B7561"/>
    <w:rsid w:val="49273521"/>
    <w:rsid w:val="49DE60ED"/>
    <w:rsid w:val="4A9F1B14"/>
    <w:rsid w:val="4ACD5FFE"/>
    <w:rsid w:val="4ADE3E01"/>
    <w:rsid w:val="4B16784D"/>
    <w:rsid w:val="4BE25914"/>
    <w:rsid w:val="4C542720"/>
    <w:rsid w:val="4D613934"/>
    <w:rsid w:val="4DC745C5"/>
    <w:rsid w:val="4EEA4A3B"/>
    <w:rsid w:val="4EEE3383"/>
    <w:rsid w:val="4F8173F1"/>
    <w:rsid w:val="4FA7370A"/>
    <w:rsid w:val="4FFB5C72"/>
    <w:rsid w:val="50235998"/>
    <w:rsid w:val="50B62423"/>
    <w:rsid w:val="50D567BA"/>
    <w:rsid w:val="51192E9B"/>
    <w:rsid w:val="51F01994"/>
    <w:rsid w:val="52121B22"/>
    <w:rsid w:val="522A0C89"/>
    <w:rsid w:val="52F55F8D"/>
    <w:rsid w:val="531C2550"/>
    <w:rsid w:val="534E7C68"/>
    <w:rsid w:val="53FE7AE8"/>
    <w:rsid w:val="540643FA"/>
    <w:rsid w:val="5537515B"/>
    <w:rsid w:val="55416C40"/>
    <w:rsid w:val="55777F9A"/>
    <w:rsid w:val="55AF7327"/>
    <w:rsid w:val="55DB2B2B"/>
    <w:rsid w:val="57BF7A7E"/>
    <w:rsid w:val="58086FAD"/>
    <w:rsid w:val="58413789"/>
    <w:rsid w:val="585E75C9"/>
    <w:rsid w:val="58853E97"/>
    <w:rsid w:val="58AD33F8"/>
    <w:rsid w:val="595D5AF7"/>
    <w:rsid w:val="596A23FA"/>
    <w:rsid w:val="5A4A2A5D"/>
    <w:rsid w:val="5C272313"/>
    <w:rsid w:val="5C513A00"/>
    <w:rsid w:val="5CBC17F6"/>
    <w:rsid w:val="5D0237FD"/>
    <w:rsid w:val="5D1131E2"/>
    <w:rsid w:val="5D4C083A"/>
    <w:rsid w:val="5DA802BD"/>
    <w:rsid w:val="5DE754FD"/>
    <w:rsid w:val="5DF428AF"/>
    <w:rsid w:val="5E3E3DD3"/>
    <w:rsid w:val="5E4554BF"/>
    <w:rsid w:val="5E8F0D1E"/>
    <w:rsid w:val="5EC30C84"/>
    <w:rsid w:val="5F1119C3"/>
    <w:rsid w:val="5F831CAA"/>
    <w:rsid w:val="60060E29"/>
    <w:rsid w:val="603B6929"/>
    <w:rsid w:val="608C1B3F"/>
    <w:rsid w:val="61277468"/>
    <w:rsid w:val="61985677"/>
    <w:rsid w:val="61E85374"/>
    <w:rsid w:val="624667BC"/>
    <w:rsid w:val="62B97B27"/>
    <w:rsid w:val="62D26C0F"/>
    <w:rsid w:val="635E44E3"/>
    <w:rsid w:val="63827237"/>
    <w:rsid w:val="63BA7FD7"/>
    <w:rsid w:val="63BE6D04"/>
    <w:rsid w:val="63F40668"/>
    <w:rsid w:val="64071B75"/>
    <w:rsid w:val="643F6161"/>
    <w:rsid w:val="64593E9E"/>
    <w:rsid w:val="64DE6BB8"/>
    <w:rsid w:val="65241796"/>
    <w:rsid w:val="658332EB"/>
    <w:rsid w:val="66D94342"/>
    <w:rsid w:val="672849EF"/>
    <w:rsid w:val="67A30662"/>
    <w:rsid w:val="68510E56"/>
    <w:rsid w:val="68814189"/>
    <w:rsid w:val="688C36EC"/>
    <w:rsid w:val="68DB3DBE"/>
    <w:rsid w:val="690A0675"/>
    <w:rsid w:val="6ABD76B5"/>
    <w:rsid w:val="6B4173F7"/>
    <w:rsid w:val="6C3A1647"/>
    <w:rsid w:val="6CAF7D74"/>
    <w:rsid w:val="6CCA211A"/>
    <w:rsid w:val="6CD71B77"/>
    <w:rsid w:val="6D387033"/>
    <w:rsid w:val="6E2C6D96"/>
    <w:rsid w:val="6E982A05"/>
    <w:rsid w:val="6E9C59E9"/>
    <w:rsid w:val="6EA156D2"/>
    <w:rsid w:val="6F2778CB"/>
    <w:rsid w:val="6F7B465A"/>
    <w:rsid w:val="6FD93CC3"/>
    <w:rsid w:val="70295DF3"/>
    <w:rsid w:val="70A94033"/>
    <w:rsid w:val="70B42E3D"/>
    <w:rsid w:val="714306B6"/>
    <w:rsid w:val="71B91D9E"/>
    <w:rsid w:val="72610601"/>
    <w:rsid w:val="7342593D"/>
    <w:rsid w:val="739D1BAC"/>
    <w:rsid w:val="745C1DF1"/>
    <w:rsid w:val="748F06B3"/>
    <w:rsid w:val="74D533DC"/>
    <w:rsid w:val="74E04FD2"/>
    <w:rsid w:val="75FE075E"/>
    <w:rsid w:val="768F23C4"/>
    <w:rsid w:val="76AE48AE"/>
    <w:rsid w:val="76D16C91"/>
    <w:rsid w:val="77825C36"/>
    <w:rsid w:val="778C4359"/>
    <w:rsid w:val="7790668F"/>
    <w:rsid w:val="77A053E5"/>
    <w:rsid w:val="77B6121A"/>
    <w:rsid w:val="77E2069B"/>
    <w:rsid w:val="784B0B64"/>
    <w:rsid w:val="797A2135"/>
    <w:rsid w:val="79C13E5E"/>
    <w:rsid w:val="7A3F6B17"/>
    <w:rsid w:val="7AB87486"/>
    <w:rsid w:val="7AB93063"/>
    <w:rsid w:val="7AC81D0F"/>
    <w:rsid w:val="7C207697"/>
    <w:rsid w:val="7C325D97"/>
    <w:rsid w:val="7CE6669E"/>
    <w:rsid w:val="7F5A5EFF"/>
    <w:rsid w:val="7F7A4A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paragraph" w:styleId="4">
    <w:name w:val="heading 4"/>
    <w:basedOn w:val="1"/>
    <w:next w:val="1"/>
    <w:unhideWhenUsed/>
    <w:qFormat/>
    <w:uiPriority w:val="0"/>
    <w:pPr>
      <w:keepNext/>
      <w:keepLines/>
      <w:spacing w:before="280" w:after="290" w:line="372" w:lineRule="auto"/>
      <w:outlineLvl w:val="3"/>
    </w:pPr>
    <w:rPr>
      <w:rFonts w:eastAsia="黑体"/>
      <w:b/>
      <w:sz w:val="28"/>
    </w:rPr>
  </w:style>
  <w:style w:type="character" w:default="1" w:styleId="9">
    <w:name w:val="Default Paragraph Font"/>
    <w:qFormat/>
    <w:uiPriority w:val="1"/>
  </w:style>
  <w:style w:type="table" w:default="1" w:styleId="8">
    <w:name w:val="Normal Table"/>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page number"/>
    <w:basedOn w:val="9"/>
    <w:qFormat/>
    <w:uiPriority w:val="0"/>
  </w:style>
  <w:style w:type="paragraph" w:customStyle="1" w:styleId="11">
    <w:name w:val="List Paragraph"/>
    <w:basedOn w:val="1"/>
    <w:qFormat/>
    <w:uiPriority w:val="34"/>
    <w:pPr>
      <w:ind w:firstLine="420" w:firstLineChars="200"/>
    </w:pPr>
  </w:style>
  <w:style w:type="character" w:customStyle="1" w:styleId="12">
    <w:name w:val="页脚 Char"/>
    <w:basedOn w:val="9"/>
    <w:link w:val="5"/>
    <w:qFormat/>
    <w:uiPriority w:val="99"/>
    <w:rPr>
      <w:sz w:val="18"/>
      <w:szCs w:val="18"/>
    </w:rPr>
  </w:style>
  <w:style w:type="character" w:customStyle="1" w:styleId="13">
    <w:name w:val="页眉 Char"/>
    <w:basedOn w:val="9"/>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control" Target="activeX/activeX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1805</Words>
  <Characters>1965</Characters>
  <Lines>0</Lines>
  <Paragraphs>26</Paragraphs>
  <TotalTime>0</TotalTime>
  <ScaleCrop>false</ScaleCrop>
  <LinksUpToDate>false</LinksUpToDate>
  <CharactersWithSpaces>1987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2019-08-19T03:11:00Z</dcterms:created>
  <dc:creator>hp440G2</dc:creator>
  <cp:lastModifiedBy>Administrator</cp:lastModifiedBy>
  <cp:lastPrinted>2023-05-10T02:24:00Z</cp:lastPrinted>
  <dcterms:modified xsi:type="dcterms:W3CDTF">2023-05-10T08:52:19Z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2ee4ed237a154f19be065daffe5a4c6d</vt:lpwstr>
  </property>
  <property fmtid="{D5CDD505-2E9C-101B-9397-08002B2CF9AE}" pid="4" name="docranid">
    <vt:lpwstr>200FCE1FC3AF4F27AA68F60D2FAF8CAF</vt:lpwstr>
  </property>
</Properties>
</file>