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line="582" w:lineRule="exact"/>
        <w:jc w:val="center"/>
        <w:rPr>
          <w:rFonts w:cs="楷体_GB2312" w:asciiTheme="majorEastAsia" w:hAnsiTheme="majorEastAsia" w:eastAsiaTheme="majorEastAsia"/>
          <w:b w:val="0"/>
          <w:bCs/>
          <w:kern w:val="2"/>
          <w:szCs w:val="44"/>
        </w:rPr>
      </w:pPr>
      <w:bookmarkStart w:id="0" w:name="_GoBack"/>
      <w:bookmarkEnd w:id="0"/>
      <w:r>
        <w:rPr>
          <w:rFonts w:hint="eastAsia" w:ascii="方正小标宋_GBK" w:hAnsi="方正小标宋_GBK" w:eastAsia="方正小标宋_GBK" w:cs="方正小标宋_GBK"/>
          <w:b w:val="0"/>
          <w:bCs/>
          <w:kern w:val="2"/>
          <w:szCs w:val="44"/>
        </w:rPr>
        <w:t>昆明市呈贡区农业农村局开展磨憨镇龙门村龙门村组精品示范村建设工程项目监理及造价政府购买服务计划</w:t>
      </w:r>
    </w:p>
    <w:p>
      <w:pPr>
        <w:spacing w:line="582" w:lineRule="exact"/>
        <w:rPr>
          <w:rFonts w:cs="楷体_GB2312" w:asciiTheme="minorEastAsia" w:hAnsiTheme="minorEastAsia" w:eastAsiaTheme="minorEastAsia"/>
          <w:bCs/>
          <w:sz w:val="32"/>
          <w:szCs w:val="32"/>
        </w:rPr>
      </w:pPr>
    </w:p>
    <w:p>
      <w:pPr>
        <w:spacing w:line="58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按照《磨憨镇现代化边境小康村建设实施方案》的通知(昆边境小康组发﹝2022﹞1 号)及《分解下达1月11日磨憨镇现代化边境幸福村调研座谈会明确工作任务的通知》文件的相关要求，呈贡区定点帮扶磨憨镇龙门村现代化边境幸福村建设，目前磨憨镇龙门村龙门小组精品示范村建设工程项目已开工建设，根据昆明市财政局印发的《2020年昆明市市本级政府购买服务指导性目录》（昆财综〔2020〕33号）文件精神，昆明市呈贡区农业农村局拟采用政府购买服务的方式，开展监理及造价磨憨镇龙门村龙门村组精品示范村工程建设工作，编制购买服务计划如下：</w:t>
      </w:r>
    </w:p>
    <w:p>
      <w:pPr>
        <w:pStyle w:val="13"/>
        <w:spacing w:line="582" w:lineRule="exact"/>
        <w:ind w:left="640" w:firstLine="0" w:firstLineChars="0"/>
        <w:rPr>
          <w:rFonts w:hint="eastAsia" w:ascii="黑体" w:hAnsi="黑体" w:eastAsia="黑体" w:cs="黑体"/>
          <w:bCs/>
          <w:sz w:val="32"/>
          <w:szCs w:val="32"/>
        </w:rPr>
      </w:pPr>
      <w:r>
        <w:rPr>
          <w:rFonts w:hint="eastAsia" w:ascii="黑体" w:hAnsi="黑体" w:eastAsia="黑体" w:cs="黑体"/>
          <w:bCs/>
          <w:sz w:val="32"/>
          <w:szCs w:val="32"/>
        </w:rPr>
        <w:t>一、项目名称</w:t>
      </w:r>
    </w:p>
    <w:p>
      <w:pPr>
        <w:pStyle w:val="13"/>
        <w:spacing w:line="582" w:lineRule="exact"/>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昆明市呈贡区农业农村局开展磨憨镇龙门村龙门村组精品示范村建设工程项目监理及造价服务</w:t>
      </w:r>
    </w:p>
    <w:p>
      <w:pPr>
        <w:pStyle w:val="13"/>
        <w:spacing w:line="582" w:lineRule="exact"/>
        <w:ind w:firstLine="560"/>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目录代码：</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 xml:space="preserve">C20020500  </w:t>
      </w:r>
    </w:p>
    <w:p>
      <w:pPr>
        <w:pStyle w:val="13"/>
        <w:spacing w:line="582" w:lineRule="exact"/>
        <w:ind w:firstLine="560"/>
        <w:rPr>
          <w:rFonts w:hint="default" w:ascii="Times New Roman" w:hAnsi="Times New Roman" w:eastAsia="仿宋_GB2312" w:cs="Times New Roman"/>
          <w:bCs/>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目录名称：</w:t>
      </w:r>
      <w:r>
        <w:rPr>
          <w:rFonts w:hint="default" w:ascii="Times New Roman" w:hAnsi="Times New Roman" w:eastAsia="仿宋_GB2312" w:cs="Times New Roman"/>
          <w:bCs/>
          <w:color w:val="000000" w:themeColor="text1"/>
          <w:sz w:val="32"/>
          <w:szCs w:val="32"/>
          <w:highlight w:val="none"/>
          <w:lang w:eastAsia="zh-CN"/>
          <w14:textFill>
            <w14:solidFill>
              <w14:schemeClr w14:val="tx1"/>
            </w14:solidFill>
          </w14:textFill>
        </w:rPr>
        <w:t>工程造价鉴定服务</w:t>
      </w:r>
    </w:p>
    <w:p>
      <w:pPr>
        <w:pStyle w:val="13"/>
        <w:spacing w:line="582" w:lineRule="exact"/>
        <w:ind w:firstLine="560"/>
        <w:rPr>
          <w:rFonts w:hint="default" w:ascii="Times New Roman" w:hAnsi="Times New Roman" w:eastAsia="仿宋_GB2312" w:cs="Times New Roman"/>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目录代码：</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 xml:space="preserve"> C20020600</w:t>
      </w:r>
    </w:p>
    <w:p>
      <w:pPr>
        <w:pStyle w:val="13"/>
        <w:spacing w:line="582" w:lineRule="exact"/>
        <w:ind w:firstLine="560"/>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highlight w:val="none"/>
          <w14:textFill>
            <w14:solidFill>
              <w14:schemeClr w14:val="tx1"/>
            </w14:solidFill>
          </w14:textFill>
        </w:rPr>
        <w:t>目录名称：</w:t>
      </w:r>
      <w:r>
        <w:rPr>
          <w:rFonts w:hint="default" w:ascii="Times New Roman" w:hAnsi="Times New Roman" w:eastAsia="仿宋_GB2312" w:cs="Times New Roman"/>
          <w:bCs/>
          <w:color w:val="000000" w:themeColor="text1"/>
          <w:sz w:val="32"/>
          <w:szCs w:val="32"/>
          <w:highlight w:val="none"/>
          <w:lang w:val="en-US" w:eastAsia="zh-CN"/>
          <w14:textFill>
            <w14:solidFill>
              <w14:schemeClr w14:val="tx1"/>
            </w14:solidFill>
          </w14:textFill>
        </w:rPr>
        <w:t>工程监理服务</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二、购买主体</w:t>
      </w:r>
    </w:p>
    <w:p>
      <w:pPr>
        <w:spacing w:line="58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单位名称：昆明市呈贡区农业农村局</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三、购买主体单位性质</w:t>
      </w:r>
    </w:p>
    <w:p>
      <w:pPr>
        <w:spacing w:line="582" w:lineRule="exact"/>
        <w:ind w:left="64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行政机关</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四、项目概况</w:t>
      </w:r>
    </w:p>
    <w:p>
      <w:pPr>
        <w:pStyle w:val="2"/>
        <w:spacing w:line="360" w:lineRule="auto"/>
        <w:ind w:firstLine="48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（一）本项目主要工作内容：</w:t>
      </w:r>
    </w:p>
    <w:p>
      <w:pPr>
        <w:pStyle w:val="2"/>
        <w:spacing w:line="360" w:lineRule="auto"/>
        <w:ind w:firstLine="4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次建设工作为磨憨镇龙门村龙门村组的村容村貌建设为主要服务内容，结合乡村振兴战略的实施及省会城市的带动引领作用，紧紧围绕“基础牢、产业兴、环境美、生活好、边疆稳、党建强”六大核心体系，科学、合理的完成磨憨镇现代化边境幸福村建设监理服务内容，助推磨憨国际口岸城市高质量发展。</w:t>
      </w:r>
    </w:p>
    <w:p>
      <w:pPr>
        <w:adjustRightInd w:val="0"/>
        <w:snapToGrid w:val="0"/>
        <w:spacing w:line="360" w:lineRule="auto"/>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磨憨镇龙门村龙门村组监理服务，实施内容从施工准备阶段（包含前期现场所涉及的所有工作）、施工阶段、施工现场协调管理、试运行阶段、竣工验收阶段及保修期内的全过程监理服务，包括但不限于：质量控制、进度控制、成本控制、变更控制、安全文明施工管理、项目实施过程中的组织协调、施工过程监理信息、合同管理、资料管理、组织协调（四控三管一协调）、项目保修期内的监理工作；具体工作内容以最终经审核的施工图及采购人实际委托为准。</w:t>
      </w:r>
    </w:p>
    <w:p>
      <w:pPr>
        <w:pStyle w:val="2"/>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rPr>
        <w:t>磨憨镇龙门村龙门村组</w:t>
      </w:r>
      <w:r>
        <w:rPr>
          <w:rFonts w:hint="default" w:ascii="Times New Roman" w:hAnsi="Times New Roman" w:eastAsia="仿宋_GB2312" w:cs="Times New Roman"/>
          <w:bCs/>
          <w:sz w:val="32"/>
          <w:szCs w:val="32"/>
          <w:lang w:val="en-US" w:eastAsia="zh-CN"/>
        </w:rPr>
        <w:t>造价</w:t>
      </w:r>
      <w:r>
        <w:rPr>
          <w:rFonts w:hint="default" w:ascii="Times New Roman" w:hAnsi="Times New Roman" w:eastAsia="仿宋_GB2312" w:cs="Times New Roman"/>
          <w:bCs/>
          <w:sz w:val="32"/>
          <w:szCs w:val="32"/>
        </w:rPr>
        <w:t>服务</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包括：工程预算编制或审核、招标工程量清单编制或审核、工程量清单计价文件编制或审核、施工阶段全过程造价控制、工程竣工结算审核。具体工作内容以最终经审核的施工图及采购人实际委托为准。</w:t>
      </w:r>
    </w:p>
    <w:p>
      <w:pPr>
        <w:pStyle w:val="2"/>
        <w:spacing w:line="360" w:lineRule="auto"/>
        <w:ind w:firstLine="4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云南省建设现代化边境小康村规划(2021-2025)》(云办发[2021]20号)、《云南省现代化边境小康村建设工作任务分解》(云民宗发[2021]36号)等相关意见（99项工作任务、257条具体工作措施、30项具体建设任务和19项指导性指标），[关于印发《磨憨镇现代化边境小康村建设实施方案》的通知]（6项工作任务、19条具体工作措施）分解各项约束性、引导性和预期性指标，制定“一村一方案”的村庄发展目标，明确各村及村小组的建设投资概况。</w:t>
      </w:r>
    </w:p>
    <w:p>
      <w:pPr>
        <w:numPr>
          <w:ilvl w:val="0"/>
          <w:numId w:val="1"/>
        </w:numPr>
        <w:spacing w:line="582" w:lineRule="exact"/>
        <w:ind w:firstLine="640" w:firstLineChars="200"/>
        <w:rPr>
          <w:rFonts w:hint="default" w:ascii="Times New Roman" w:hAnsi="Times New Roman" w:eastAsia="仿宋_GB2312" w:cs="Times New Roman"/>
          <w:bCs/>
          <w:sz w:val="32"/>
          <w:szCs w:val="32"/>
          <w:lang w:val="en-US" w:eastAsia="zh-CN"/>
        </w:rPr>
      </w:pPr>
      <w:r>
        <w:rPr>
          <w:rFonts w:hint="default" w:ascii="楷体_GB2312" w:hAnsi="楷体_GB2312" w:eastAsia="楷体_GB2312" w:cs="楷体_GB2312"/>
          <w:bCs/>
          <w:kern w:val="2"/>
          <w:sz w:val="32"/>
          <w:szCs w:val="32"/>
          <w:lang w:val="en-US" w:eastAsia="zh-CN" w:bidi="ar-SA"/>
        </w:rPr>
        <w:t>本项目监理和造价实施目的和意义：</w:t>
      </w:r>
      <w:r>
        <w:rPr>
          <w:rFonts w:hint="default" w:ascii="Times New Roman" w:hAnsi="Times New Roman" w:eastAsia="仿宋_GB2312" w:cs="Times New Roman"/>
          <w:bCs/>
          <w:sz w:val="32"/>
          <w:szCs w:val="32"/>
        </w:rPr>
        <w:t>本次建设监理</w:t>
      </w:r>
      <w:r>
        <w:rPr>
          <w:rFonts w:hint="default" w:ascii="Times New Roman" w:hAnsi="Times New Roman" w:eastAsia="仿宋_GB2312" w:cs="Times New Roman"/>
          <w:bCs/>
          <w:sz w:val="32"/>
          <w:szCs w:val="32"/>
          <w:lang w:val="en-US" w:eastAsia="zh-CN"/>
        </w:rPr>
        <w:t>和造价</w:t>
      </w:r>
      <w:r>
        <w:rPr>
          <w:rFonts w:hint="default" w:ascii="Times New Roman" w:hAnsi="Times New Roman" w:eastAsia="仿宋_GB2312" w:cs="Times New Roman"/>
          <w:bCs/>
          <w:sz w:val="32"/>
          <w:szCs w:val="32"/>
        </w:rPr>
        <w:t>工作为磨憨镇龙门村龙门村组的村容村貌建设为主要监理</w:t>
      </w:r>
      <w:r>
        <w:rPr>
          <w:rFonts w:hint="default" w:ascii="Times New Roman" w:hAnsi="Times New Roman" w:eastAsia="仿宋_GB2312" w:cs="Times New Roman"/>
          <w:bCs/>
          <w:sz w:val="32"/>
          <w:szCs w:val="32"/>
          <w:lang w:val="en-US" w:eastAsia="zh-CN"/>
        </w:rPr>
        <w:t>和造价</w:t>
      </w:r>
      <w:r>
        <w:rPr>
          <w:rFonts w:hint="default" w:ascii="Times New Roman" w:hAnsi="Times New Roman" w:eastAsia="仿宋_GB2312" w:cs="Times New Roman"/>
          <w:bCs/>
          <w:sz w:val="32"/>
          <w:szCs w:val="32"/>
        </w:rPr>
        <w:t>服务内容，结合乡村振兴战略的实施及省会城市的带动引领作用，紧紧围绕“基础牢、产业兴、环境美、生活好、边疆稳、党建强”六大核心体系，助推磨憨国际口岸城</w:t>
      </w:r>
      <w:r>
        <w:rPr>
          <w:rFonts w:hint="default" w:ascii="Times New Roman" w:hAnsi="Times New Roman" w:eastAsia="仿宋_GB2312" w:cs="Times New Roman"/>
          <w:bCs/>
          <w:sz w:val="32"/>
          <w:szCs w:val="32"/>
          <w:lang w:val="en-US" w:eastAsia="zh-CN"/>
        </w:rPr>
        <w:t>市高质量发展。</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五、预算资金</w:t>
      </w:r>
    </w:p>
    <w:p>
      <w:pPr>
        <w:pStyle w:val="13"/>
        <w:spacing w:line="582" w:lineRule="exact"/>
        <w:ind w:firstLine="560"/>
        <w:rPr>
          <w:rFonts w:hint="default" w:ascii="Times New Roman" w:hAnsi="Times New Roman" w:eastAsia="仿宋_GB2312" w:cs="Times New Roman"/>
          <w:bCs/>
          <w:sz w:val="32"/>
          <w:szCs w:val="32"/>
          <w:lang w:val="en-US" w:eastAsia="zh-CN"/>
        </w:rPr>
      </w:pPr>
      <w:r>
        <w:rPr>
          <w:rFonts w:hint="default" w:ascii="楷体_GB2312" w:hAnsi="楷体_GB2312" w:eastAsia="楷体_GB2312" w:cs="楷体_GB2312"/>
          <w:bCs/>
          <w:kern w:val="2"/>
          <w:sz w:val="32"/>
          <w:szCs w:val="32"/>
          <w:lang w:val="en-US" w:eastAsia="zh-CN" w:bidi="ar-SA"/>
        </w:rPr>
        <w:t>（一）项目金额：</w:t>
      </w:r>
      <w:r>
        <w:rPr>
          <w:rFonts w:hint="default" w:ascii="Times New Roman" w:hAnsi="Times New Roman" w:eastAsia="仿宋_GB2312" w:cs="Times New Roman"/>
          <w:bCs/>
          <w:sz w:val="32"/>
          <w:szCs w:val="32"/>
        </w:rPr>
        <w:t>监理</w:t>
      </w:r>
      <w:r>
        <w:rPr>
          <w:rFonts w:hint="default" w:ascii="Times New Roman" w:hAnsi="Times New Roman" w:eastAsia="仿宋_GB2312" w:cs="Times New Roman"/>
          <w:bCs/>
          <w:sz w:val="32"/>
          <w:szCs w:val="32"/>
          <w:lang w:eastAsia="zh-CN"/>
        </w:rPr>
        <w:t>费用：</w:t>
      </w:r>
      <w:r>
        <w:rPr>
          <w:rFonts w:hint="default" w:ascii="Times New Roman" w:hAnsi="Times New Roman" w:eastAsia="仿宋_GB2312" w:cs="Times New Roman"/>
          <w:bCs/>
          <w:sz w:val="32"/>
          <w:szCs w:val="32"/>
          <w:lang w:val="en-US" w:eastAsia="zh-CN"/>
        </w:rPr>
        <w:t>19万元；</w:t>
      </w:r>
      <w:r>
        <w:rPr>
          <w:rFonts w:hint="default" w:ascii="Times New Roman" w:hAnsi="Times New Roman" w:eastAsia="仿宋_GB2312" w:cs="Times New Roman"/>
          <w:bCs/>
          <w:sz w:val="32"/>
          <w:szCs w:val="32"/>
        </w:rPr>
        <w:t>造价</w:t>
      </w:r>
      <w:r>
        <w:rPr>
          <w:rFonts w:hint="default" w:ascii="Times New Roman" w:hAnsi="Times New Roman" w:eastAsia="仿宋_GB2312" w:cs="Times New Roman"/>
          <w:bCs/>
          <w:sz w:val="32"/>
          <w:szCs w:val="32"/>
          <w:lang w:eastAsia="zh-CN"/>
        </w:rPr>
        <w:t>费用：</w:t>
      </w:r>
      <w:r>
        <w:rPr>
          <w:rFonts w:hint="default" w:ascii="Times New Roman" w:hAnsi="Times New Roman" w:eastAsia="仿宋_GB2312" w:cs="Times New Roman"/>
          <w:bCs/>
          <w:sz w:val="32"/>
          <w:szCs w:val="32"/>
          <w:lang w:val="en-US" w:eastAsia="zh-CN"/>
        </w:rPr>
        <w:t>14万元。</w:t>
      </w:r>
    </w:p>
    <w:p>
      <w:pPr>
        <w:spacing w:line="582" w:lineRule="exact"/>
        <w:ind w:firstLine="640" w:firstLineChars="200"/>
        <w:rPr>
          <w:rFonts w:hint="default" w:ascii="Times New Roman" w:hAnsi="Times New Roman" w:eastAsia="仿宋_GB2312" w:cs="Times New Roman"/>
          <w:bCs/>
          <w:sz w:val="32"/>
          <w:szCs w:val="32"/>
        </w:rPr>
      </w:pPr>
      <w:r>
        <w:rPr>
          <w:rFonts w:hint="default" w:ascii="楷体_GB2312" w:hAnsi="楷体_GB2312" w:eastAsia="楷体_GB2312" w:cs="楷体_GB2312"/>
          <w:bCs/>
          <w:kern w:val="2"/>
          <w:sz w:val="32"/>
          <w:szCs w:val="32"/>
          <w:lang w:val="en-US" w:eastAsia="zh-CN" w:bidi="ar-SA"/>
        </w:rPr>
        <w:t>（二）资金来源</w:t>
      </w:r>
      <w:r>
        <w:rPr>
          <w:rFonts w:hint="default" w:ascii="Times New Roman" w:hAnsi="Times New Roman" w:eastAsia="仿宋_GB2312" w:cs="Times New Roman"/>
          <w:bCs/>
          <w:sz w:val="32"/>
          <w:szCs w:val="32"/>
        </w:rPr>
        <w:t>：财政资金。</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六、承接标准</w:t>
      </w:r>
    </w:p>
    <w:p>
      <w:pPr>
        <w:pStyle w:val="13"/>
        <w:spacing w:line="582" w:lineRule="exact"/>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承接主体应具备的条件：</w:t>
      </w:r>
    </w:p>
    <w:p>
      <w:pPr>
        <w:pStyle w:val="13"/>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lang w:eastAsia="zh-CN"/>
        </w:rPr>
      </w:pPr>
      <w:r>
        <w:rPr>
          <w:rFonts w:hint="default" w:ascii="Times New Roman" w:hAnsi="Times New Roman" w:eastAsia="仿宋_GB2312" w:cs="Times New Roman"/>
          <w:b w:val="0"/>
          <w:bCs/>
          <w:spacing w:val="-6"/>
          <w:sz w:val="32"/>
          <w:szCs w:val="32"/>
          <w:lang w:val="en-US" w:eastAsia="zh-CN"/>
        </w:rPr>
        <w:t>1.</w:t>
      </w:r>
      <w:r>
        <w:rPr>
          <w:rFonts w:hint="default" w:ascii="Times New Roman" w:hAnsi="Times New Roman" w:eastAsia="仿宋_GB2312" w:cs="Times New Roman"/>
          <w:b w:val="0"/>
          <w:bCs/>
          <w:spacing w:val="-6"/>
          <w:sz w:val="32"/>
          <w:szCs w:val="32"/>
        </w:rPr>
        <w:t>供应商应符合《中华人民共和国政府采购法》第二十二条及《中华人民共和国政府采购法 实施条例》第十七条的要求</w:t>
      </w:r>
      <w:r>
        <w:rPr>
          <w:rFonts w:hint="default" w:ascii="Times New Roman" w:hAnsi="Times New Roman" w:eastAsia="仿宋_GB2312" w:cs="Times New Roman"/>
          <w:b w:val="0"/>
          <w:bCs/>
          <w:spacing w:val="-6"/>
          <w:sz w:val="32"/>
          <w:szCs w:val="32"/>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b w:val="0"/>
          <w:bCs/>
          <w:spacing w:val="-6"/>
          <w:sz w:val="32"/>
          <w:szCs w:val="32"/>
          <w:lang w:val="en-US" w:eastAsia="zh-CN"/>
        </w:rPr>
        <w:t>2.</w:t>
      </w:r>
      <w:r>
        <w:rPr>
          <w:rFonts w:hint="default" w:ascii="Times New Roman" w:hAnsi="Times New Roman" w:eastAsia="仿宋_GB2312" w:cs="Times New Roman"/>
          <w:spacing w:val="-6"/>
          <w:sz w:val="32"/>
          <w:szCs w:val="32"/>
        </w:rPr>
        <w:t>依法登记设立，能独立承担民事责任；</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lang w:val="en-US" w:eastAsia="zh-CN"/>
        </w:rPr>
        <w:t>3</w:t>
      </w:r>
      <w:r>
        <w:rPr>
          <w:rFonts w:hint="default" w:ascii="Times New Roman" w:hAnsi="Times New Roman" w:eastAsia="仿宋_GB2312" w:cs="Times New Roman"/>
          <w:spacing w:val="-6"/>
          <w:sz w:val="32"/>
          <w:szCs w:val="32"/>
        </w:rPr>
        <w:t>.具有独立的财务管理、会计核算和资产管理制度；</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lang w:val="en-US" w:eastAsia="zh-CN"/>
        </w:rPr>
        <w:t>4</w:t>
      </w:r>
      <w:r>
        <w:rPr>
          <w:rFonts w:hint="default" w:ascii="Times New Roman" w:hAnsi="Times New Roman" w:eastAsia="仿宋_GB2312" w:cs="Times New Roman"/>
          <w:spacing w:val="-6"/>
          <w:sz w:val="32"/>
          <w:szCs w:val="32"/>
        </w:rPr>
        <w:t>.具备提供服务所必需的专业人员和专业技术能力；</w:t>
      </w:r>
    </w:p>
    <w:p>
      <w:pPr>
        <w:pStyle w:val="13"/>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lang w:val="en-US" w:eastAsia="zh-CN"/>
        </w:rPr>
        <w:t>5</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b w:val="0"/>
          <w:bCs/>
          <w:spacing w:val="-6"/>
          <w:sz w:val="32"/>
          <w:szCs w:val="32"/>
        </w:rPr>
        <w:t>根据《财政部关于在政府采购活动中查询及使用信用记录有关问题的通知》(财库[2016]125号)相关要求，供应商应在“信用中国”网站(www.creditchina.gov.cn)未被列入失信被执行人记录</w:t>
      </w:r>
      <w:r>
        <w:rPr>
          <w:rFonts w:hint="default" w:ascii="Times New Roman" w:hAnsi="Times New Roman" w:eastAsia="仿宋_GB2312" w:cs="Times New Roman"/>
          <w:b w:val="0"/>
          <w:bCs/>
          <w:spacing w:val="-6"/>
          <w:sz w:val="32"/>
          <w:szCs w:val="32"/>
          <w:lang w:eastAsia="zh-CN"/>
        </w:rPr>
        <w:t>，</w:t>
      </w:r>
      <w:r>
        <w:rPr>
          <w:rFonts w:hint="default" w:ascii="Times New Roman" w:hAnsi="Times New Roman" w:eastAsia="仿宋_GB2312" w:cs="Times New Roman"/>
          <w:spacing w:val="-6"/>
          <w:sz w:val="32"/>
          <w:szCs w:val="32"/>
        </w:rPr>
        <w:t>参与政府购买服务竞争前资质审查合格，社会信誉、商业信誉良好</w:t>
      </w:r>
      <w:r>
        <w:rPr>
          <w:rFonts w:hint="default" w:ascii="Times New Roman" w:hAnsi="Times New Roman" w:eastAsia="仿宋_GB2312" w:cs="Times New Roman"/>
          <w:b w:val="0"/>
          <w:bCs/>
          <w:spacing w:val="-6"/>
          <w:sz w:val="32"/>
          <w:szCs w:val="32"/>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pacing w:val="-6"/>
          <w:sz w:val="32"/>
          <w:szCs w:val="32"/>
          <w:lang w:val="en-US" w:eastAsia="zh-CN"/>
        </w:rPr>
        <w:t>6</w:t>
      </w:r>
      <w:r>
        <w:rPr>
          <w:rFonts w:hint="default" w:ascii="Times New Roman" w:hAnsi="Times New Roman" w:eastAsia="仿宋_GB2312" w:cs="Times New Roman"/>
          <w:spacing w:val="-6"/>
          <w:sz w:val="32"/>
          <w:szCs w:val="32"/>
        </w:rPr>
        <w:t>.参与人员能接受相关保密审查</w:t>
      </w:r>
      <w:r>
        <w:rPr>
          <w:rFonts w:hint="default" w:ascii="Times New Roman" w:hAnsi="Times New Roman" w:eastAsia="仿宋_GB2312" w:cs="Times New Roman"/>
          <w:spacing w:val="-6"/>
          <w:sz w:val="32"/>
          <w:szCs w:val="32"/>
          <w:lang w:val="en-US" w:eastAsia="zh-CN"/>
        </w:rPr>
        <w:t>等</w:t>
      </w:r>
      <w:r>
        <w:rPr>
          <w:rFonts w:hint="default" w:ascii="Times New Roman" w:hAnsi="Times New Roman" w:eastAsia="仿宋_GB2312" w:cs="Times New Roman"/>
          <w:spacing w:val="-6"/>
          <w:sz w:val="32"/>
          <w:szCs w:val="32"/>
        </w:rPr>
        <w:t>。</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七、目标要求</w:t>
      </w:r>
    </w:p>
    <w:p>
      <w:pPr>
        <w:spacing w:line="58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购买服务的工作目标和要求，如：</w:t>
      </w:r>
    </w:p>
    <w:p>
      <w:pPr>
        <w:pStyle w:val="2"/>
        <w:spacing w:line="360" w:lineRule="auto"/>
        <w:ind w:firstLine="480"/>
        <w:rPr>
          <w:rFonts w:hint="default" w:ascii="楷体_GB2312" w:hAnsi="楷体_GB2312" w:eastAsia="楷体_GB2312" w:cs="楷体_GB2312"/>
          <w:bCs/>
          <w:sz w:val="32"/>
          <w:szCs w:val="32"/>
        </w:rPr>
      </w:pPr>
      <w:r>
        <w:rPr>
          <w:rFonts w:hint="default" w:ascii="楷体_GB2312" w:hAnsi="楷体_GB2312" w:eastAsia="楷体_GB2312" w:cs="楷体_GB2312"/>
          <w:bCs/>
          <w:sz w:val="32"/>
          <w:szCs w:val="32"/>
        </w:rPr>
        <w:t>（一）服务方需按照签订服务协议内容，开展好昆明市呈贡区农业农村局2023年磨憨镇龙门村龙门村组精品示范村工作监理及造价服务；</w:t>
      </w:r>
    </w:p>
    <w:p>
      <w:pPr>
        <w:pStyle w:val="2"/>
        <w:spacing w:line="360" w:lineRule="auto"/>
        <w:ind w:firstLine="480"/>
        <w:rPr>
          <w:rFonts w:hint="default" w:ascii="楷体_GB2312" w:hAnsi="楷体_GB2312" w:eastAsia="楷体_GB2312" w:cs="楷体_GB2312"/>
          <w:bCs/>
          <w:sz w:val="32"/>
          <w:szCs w:val="32"/>
        </w:rPr>
      </w:pPr>
      <w:r>
        <w:rPr>
          <w:rFonts w:hint="default" w:ascii="楷体_GB2312" w:hAnsi="楷体_GB2312" w:eastAsia="楷体_GB2312" w:cs="楷体_GB2312"/>
          <w:bCs/>
          <w:sz w:val="32"/>
          <w:szCs w:val="32"/>
        </w:rPr>
        <w:t>（二）服务方在开展工作中，需对昆明市呈贡区农业农村局相关信息进行保密，未经昆明市呈贡区农业农村局同意，不得以任何方式向第三方透露相关信息（法律规定的情形除外）；</w:t>
      </w:r>
    </w:p>
    <w:p>
      <w:pPr>
        <w:pStyle w:val="2"/>
        <w:spacing w:line="360" w:lineRule="auto"/>
        <w:ind w:firstLine="480"/>
        <w:rPr>
          <w:rFonts w:hint="default" w:ascii="楷体_GB2312" w:hAnsi="楷体_GB2312" w:eastAsia="楷体_GB2312" w:cs="楷体_GB2312"/>
          <w:bCs/>
          <w:sz w:val="32"/>
          <w:szCs w:val="32"/>
        </w:rPr>
      </w:pPr>
      <w:r>
        <w:rPr>
          <w:rFonts w:hint="default" w:ascii="楷体_GB2312" w:hAnsi="楷体_GB2312" w:eastAsia="楷体_GB2312" w:cs="楷体_GB2312"/>
          <w:bCs/>
          <w:sz w:val="32"/>
          <w:szCs w:val="32"/>
        </w:rPr>
        <w:t>（三）服务方在开展工作中，不得影响昆明市呈贡区农业农村局正常工作的开展。</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八、购买方式</w:t>
      </w:r>
    </w:p>
    <w:p>
      <w:pPr>
        <w:spacing w:line="582" w:lineRule="exact"/>
        <w:ind w:left="17" w:leftChars="8" w:firstLine="617" w:firstLineChars="193"/>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云南省人民政府办公厅关于印发云南省政府集中采购目录及标准（2021年版）的通知》（云政办函〔2020〕115号）文件规定，集中采购以外且单项或批量金额在60万元（不含）以下的项目，不属于政府采购范围，由昆明市呈贡区农业农村局按照内控、财务制度执行。</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九、资金支付方式</w:t>
      </w:r>
    </w:p>
    <w:p>
      <w:pPr>
        <w:pStyle w:val="13"/>
        <w:spacing w:line="582" w:lineRule="exact"/>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按照签订购买服务协议内容支付服务费用。</w:t>
      </w:r>
    </w:p>
    <w:p>
      <w:pPr>
        <w:pStyle w:val="13"/>
        <w:spacing w:line="582" w:lineRule="exact"/>
        <w:ind w:left="640" w:firstLine="0" w:firstLineChars="0"/>
        <w:rPr>
          <w:rFonts w:hint="default" w:ascii="黑体" w:hAnsi="黑体" w:eastAsia="黑体" w:cs="黑体"/>
          <w:bCs/>
          <w:sz w:val="32"/>
          <w:szCs w:val="32"/>
        </w:rPr>
      </w:pPr>
      <w:r>
        <w:rPr>
          <w:rFonts w:hint="default" w:ascii="黑体" w:hAnsi="黑体" w:eastAsia="黑体" w:cs="黑体"/>
          <w:bCs/>
          <w:sz w:val="32"/>
          <w:szCs w:val="32"/>
        </w:rPr>
        <w:t>十、响应方式</w:t>
      </w:r>
    </w:p>
    <w:p>
      <w:pPr>
        <w:pStyle w:val="13"/>
        <w:spacing w:line="582" w:lineRule="exact"/>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公示期为2023年</w:t>
      </w:r>
      <w:r>
        <w:rPr>
          <w:rFonts w:hint="default" w:ascii="Times New Roman" w:hAnsi="Times New Roman" w:eastAsia="仿宋_GB2312" w:cs="Times New Roman"/>
          <w:bCs/>
          <w:sz w:val="32"/>
          <w:szCs w:val="32"/>
          <w:lang w:val="en" w:eastAsia="zh-CN"/>
        </w:rPr>
        <w:t>5</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 w:eastAsia="zh-CN"/>
        </w:rPr>
        <w:t>4</w:t>
      </w:r>
      <w:r>
        <w:rPr>
          <w:rFonts w:hint="default" w:ascii="Times New Roman" w:hAnsi="Times New Roman" w:eastAsia="仿宋_GB2312" w:cs="Times New Roman"/>
          <w:bCs/>
          <w:sz w:val="32"/>
          <w:szCs w:val="32"/>
        </w:rPr>
        <w:t>日到</w:t>
      </w: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 w:eastAsia="zh-CN"/>
        </w:rPr>
        <w:t>12</w:t>
      </w:r>
      <w:r>
        <w:rPr>
          <w:rFonts w:hint="default" w:ascii="Times New Roman" w:hAnsi="Times New Roman" w:eastAsia="仿宋_GB2312" w:cs="Times New Roman"/>
          <w:bCs/>
          <w:sz w:val="32"/>
          <w:szCs w:val="32"/>
        </w:rPr>
        <w:t>日，凡有意参加者，请于2023年</w:t>
      </w: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 w:eastAsia="zh-CN"/>
        </w:rPr>
        <w:t>12</w:t>
      </w:r>
      <w:r>
        <w:rPr>
          <w:rFonts w:hint="default" w:ascii="Times New Roman" w:hAnsi="Times New Roman" w:eastAsia="仿宋_GB2312" w:cs="Times New Roman"/>
          <w:bCs/>
          <w:sz w:val="32"/>
          <w:szCs w:val="32"/>
        </w:rPr>
        <w:t>日前报名响应。</w:t>
      </w:r>
    </w:p>
    <w:p>
      <w:pPr>
        <w:pStyle w:val="13"/>
        <w:spacing w:line="582" w:lineRule="exact"/>
        <w:ind w:left="420" w:leftChars="200" w:firstLine="320" w:firstLineChars="100"/>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rPr>
        <w:t>联系人及电话:</w:t>
      </w:r>
      <w:r>
        <w:rPr>
          <w:rFonts w:hint="default" w:ascii="Times New Roman" w:hAnsi="Times New Roman" w:eastAsia="仿宋_GB2312" w:cs="Times New Roman"/>
          <w:bCs/>
          <w:sz w:val="32"/>
          <w:szCs w:val="32"/>
          <w:lang w:eastAsia="zh-CN"/>
        </w:rPr>
        <w:t>冯毅</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val="en-US" w:eastAsia="zh-CN"/>
        </w:rPr>
        <w:t>0871-67481870</w:t>
      </w:r>
    </w:p>
    <w:p>
      <w:pPr>
        <w:pStyle w:val="13"/>
        <w:spacing w:line="582" w:lineRule="exact"/>
        <w:ind w:left="420" w:leftChars="200" w:firstLine="320" w:firstLineChars="100"/>
        <w:rPr>
          <w:rFonts w:hint="default" w:ascii="Times New Roman" w:hAnsi="Times New Roman" w:eastAsia="仿宋_GB2312" w:cs="Times New Roman"/>
          <w:bCs/>
          <w:sz w:val="32"/>
          <w:szCs w:val="32"/>
        </w:rPr>
      </w:pPr>
      <w:r>
        <w:rPr>
          <w:sz w:val="32"/>
        </w:rPr>
        <w:pict>
          <v:shape id="_x0000_s2050" o:spid="_x0000_s2050" o:spt="201" type="#_x0000_t201" style="position:absolute;left:0pt;margin-left:223.5pt;margin-top:0.75pt;height:128pt;width:128pt;z-index:251658240;mso-width-relative:page;mso-height-relative:page;" o:ole="t" filled="f" o:preferrelative="t" stroked="f" coordsize="21600,21600">
            <v:path/>
            <v:fill on="f" focussize="0,0"/>
            <v:stroke on="f"/>
            <v:imagedata r:id="rId7" o:title=""/>
            <o:lock v:ext="edit" aspectratio="f"/>
          </v:shape>
          <w:control r:id="rId6" w:name="CWordOLECtrl1" w:shapeid="_x0000_s2050"/>
        </w:pict>
      </w:r>
    </w:p>
    <w:p>
      <w:pPr>
        <w:pStyle w:val="13"/>
        <w:wordWrap w:val="0"/>
        <w:spacing w:line="582" w:lineRule="exact"/>
        <w:ind w:right="640" w:firstLine="560"/>
        <w:jc w:val="righ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 xml:space="preserve">昆明市呈贡区农业农村局 </w:t>
      </w:r>
    </w:p>
    <w:p>
      <w:pPr>
        <w:pStyle w:val="13"/>
        <w:wordWrap w:val="0"/>
        <w:spacing w:line="582" w:lineRule="exact"/>
        <w:ind w:firstLine="560"/>
        <w:jc w:val="right"/>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2023年</w:t>
      </w:r>
      <w:r>
        <w:rPr>
          <w:rFonts w:hint="default" w:ascii="Times New Roman" w:hAnsi="Times New Roman" w:eastAsia="仿宋_GB2312" w:cs="Times New Roman"/>
          <w:bCs/>
          <w:sz w:val="32"/>
          <w:szCs w:val="32"/>
          <w:lang w:val="en"/>
        </w:rPr>
        <w:t>5</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 w:eastAsia="zh-CN"/>
        </w:rPr>
        <w:t>4</w:t>
      </w:r>
      <w:r>
        <w:rPr>
          <w:rFonts w:hint="default" w:ascii="Times New Roman" w:hAnsi="Times New Roman" w:eastAsia="仿宋_GB2312" w:cs="Times New Roman"/>
          <w:bCs/>
          <w:sz w:val="32"/>
          <w:szCs w:val="32"/>
        </w:rPr>
        <w:t xml:space="preserve">日    </w:t>
      </w:r>
      <w:r>
        <w:rPr>
          <w:rFonts w:hint="default" w:ascii="Times New Roman" w:hAnsi="Times New Roman" w:eastAsia="仿宋_GB2312" w:cs="Times New Roman"/>
          <w:sz w:val="32"/>
          <w:szCs w:val="32"/>
        </w:rPr>
        <w:t xml:space="preserve">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7"/>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3</w:t>
                          </w:r>
                          <w:r>
                            <w:rPr>
                              <w:rFonts w:hint="eastAsia" w:ascii="宋体" w:hAnsi="宋体"/>
                              <w:sz w:val="28"/>
                              <w:szCs w:val="28"/>
                            </w:rPr>
                            <w:fldChar w:fldCharType="end"/>
                          </w:r>
                          <w:r>
                            <w:rPr>
                              <w:rFonts w:hint="eastAsia" w:ascii="宋体" w:hAnsi="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64fHIAQAAfgMAAA4AAAAAAAAAAQAgAAAAHgEAAGRycy9lMm9Eb2Mu&#10;eG1sUEsFBgAAAAAGAAYAWQEAAFgFAAAAAA==&#10;">
              <v:fill on="f" focussize="0,0"/>
              <v:stroke on="f"/>
              <v:imagedata o:title=""/>
              <o:lock v:ext="edit" aspectratio="f"/>
              <v:textbox inset="0mm,0mm,0mm,0mm" style="mso-fit-shape-to-text:t;">
                <w:txbxContent>
                  <w:p>
                    <w:pPr>
                      <w:pStyle w:val="7"/>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3</w:t>
                    </w:r>
                    <w:r>
                      <w:rPr>
                        <w:rFonts w:hint="eastAsia" w:ascii="宋体" w:hAnsi="宋体"/>
                        <w:sz w:val="28"/>
                        <w:szCs w:val="28"/>
                      </w:rPr>
                      <w:fldChar w:fldCharType="end"/>
                    </w:r>
                    <w:r>
                      <w:rPr>
                        <w:rFonts w:hint="eastAsia" w:ascii="宋体" w:hAnsi="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51C6A"/>
    <w:multiLevelType w:val="singleLevel"/>
    <w:tmpl w:val="43A51C6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nWfyR4IycCbolyRzuXL38JADNA=" w:salt="xMw/V34d/RmC6aMFDjBgYw=="/>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hOTU5YWIxZDAzODNhZTMyMjM0ODJiNzY4OTllYWMifQ=="/>
  </w:docVars>
  <w:rsids>
    <w:rsidRoot w:val="00C90EFD"/>
    <w:rsid w:val="000050D9"/>
    <w:rsid w:val="00035A4C"/>
    <w:rsid w:val="003A537A"/>
    <w:rsid w:val="003A7F21"/>
    <w:rsid w:val="00465832"/>
    <w:rsid w:val="005E0CAC"/>
    <w:rsid w:val="005F16BE"/>
    <w:rsid w:val="0062186D"/>
    <w:rsid w:val="00733D1B"/>
    <w:rsid w:val="007516CC"/>
    <w:rsid w:val="007E7389"/>
    <w:rsid w:val="00821AA1"/>
    <w:rsid w:val="009D1917"/>
    <w:rsid w:val="00A363BE"/>
    <w:rsid w:val="00B714C2"/>
    <w:rsid w:val="00C90EFD"/>
    <w:rsid w:val="00FE30F5"/>
    <w:rsid w:val="01A622A5"/>
    <w:rsid w:val="03072D85"/>
    <w:rsid w:val="053F36DE"/>
    <w:rsid w:val="07D61273"/>
    <w:rsid w:val="08E06C2F"/>
    <w:rsid w:val="0E063F76"/>
    <w:rsid w:val="0E7C2E69"/>
    <w:rsid w:val="10834537"/>
    <w:rsid w:val="14FA3E83"/>
    <w:rsid w:val="15A14134"/>
    <w:rsid w:val="18E45C3C"/>
    <w:rsid w:val="1A670100"/>
    <w:rsid w:val="1D223260"/>
    <w:rsid w:val="1D233896"/>
    <w:rsid w:val="1FFC5A6B"/>
    <w:rsid w:val="20114538"/>
    <w:rsid w:val="20F82CA9"/>
    <w:rsid w:val="21AB5369"/>
    <w:rsid w:val="21C02F91"/>
    <w:rsid w:val="23B71190"/>
    <w:rsid w:val="255F1C9E"/>
    <w:rsid w:val="27E60306"/>
    <w:rsid w:val="2A4E3C55"/>
    <w:rsid w:val="2CFE7BEB"/>
    <w:rsid w:val="303D4F1B"/>
    <w:rsid w:val="319810C1"/>
    <w:rsid w:val="33D14DD2"/>
    <w:rsid w:val="3597427E"/>
    <w:rsid w:val="36C20CE1"/>
    <w:rsid w:val="3811759B"/>
    <w:rsid w:val="38201F77"/>
    <w:rsid w:val="39A12416"/>
    <w:rsid w:val="39ED190F"/>
    <w:rsid w:val="3A726D2B"/>
    <w:rsid w:val="3C641068"/>
    <w:rsid w:val="3D1C0EEC"/>
    <w:rsid w:val="3E31762C"/>
    <w:rsid w:val="3ED174DD"/>
    <w:rsid w:val="3F611379"/>
    <w:rsid w:val="421179A2"/>
    <w:rsid w:val="4242728F"/>
    <w:rsid w:val="4370420D"/>
    <w:rsid w:val="470D3AA1"/>
    <w:rsid w:val="48DE2CA2"/>
    <w:rsid w:val="4ADE3E01"/>
    <w:rsid w:val="4B16784D"/>
    <w:rsid w:val="4C3C59BA"/>
    <w:rsid w:val="4C542720"/>
    <w:rsid w:val="4DC745C5"/>
    <w:rsid w:val="4EEA4A3B"/>
    <w:rsid w:val="4FA7370A"/>
    <w:rsid w:val="50235998"/>
    <w:rsid w:val="50D567BA"/>
    <w:rsid w:val="52F55F8D"/>
    <w:rsid w:val="53FE7AE8"/>
    <w:rsid w:val="540643FA"/>
    <w:rsid w:val="54912C61"/>
    <w:rsid w:val="55AF7327"/>
    <w:rsid w:val="58413789"/>
    <w:rsid w:val="585E75C9"/>
    <w:rsid w:val="5A4A2A5D"/>
    <w:rsid w:val="5CBC17F6"/>
    <w:rsid w:val="5CC24698"/>
    <w:rsid w:val="5D0237FD"/>
    <w:rsid w:val="5D1131E2"/>
    <w:rsid w:val="5D4C083A"/>
    <w:rsid w:val="5EFF2DCA"/>
    <w:rsid w:val="5F831CAA"/>
    <w:rsid w:val="60060E29"/>
    <w:rsid w:val="61277468"/>
    <w:rsid w:val="61985677"/>
    <w:rsid w:val="62B97B27"/>
    <w:rsid w:val="63827237"/>
    <w:rsid w:val="63BE6D04"/>
    <w:rsid w:val="63F40668"/>
    <w:rsid w:val="643F6161"/>
    <w:rsid w:val="64593E9E"/>
    <w:rsid w:val="64DE6BB8"/>
    <w:rsid w:val="65241796"/>
    <w:rsid w:val="672849EF"/>
    <w:rsid w:val="688C36EC"/>
    <w:rsid w:val="68DB3DBE"/>
    <w:rsid w:val="6C3A1647"/>
    <w:rsid w:val="6CD71B77"/>
    <w:rsid w:val="6D387033"/>
    <w:rsid w:val="6E2C6D96"/>
    <w:rsid w:val="6E9C59E9"/>
    <w:rsid w:val="6EA156D2"/>
    <w:rsid w:val="6F7B465A"/>
    <w:rsid w:val="6FFDF5D2"/>
    <w:rsid w:val="71557EFC"/>
    <w:rsid w:val="71D9D79C"/>
    <w:rsid w:val="7342593D"/>
    <w:rsid w:val="73CFAB83"/>
    <w:rsid w:val="74D533DC"/>
    <w:rsid w:val="74E04FD2"/>
    <w:rsid w:val="76AE48AE"/>
    <w:rsid w:val="778C4359"/>
    <w:rsid w:val="77E2069B"/>
    <w:rsid w:val="7AB93063"/>
    <w:rsid w:val="7E6071B0"/>
    <w:rsid w:val="7FE4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4"/>
    <w:basedOn w:val="1"/>
    <w:next w:val="1"/>
    <w:unhideWhenUsed/>
    <w:qFormat/>
    <w:uiPriority w:val="0"/>
    <w:pPr>
      <w:keepNext/>
      <w:keepLines/>
      <w:spacing w:before="280" w:after="290" w:line="372" w:lineRule="auto"/>
      <w:outlineLvl w:val="3"/>
    </w:pPr>
    <w:rPr>
      <w:rFonts w:eastAsia="黑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5">
    <w:name w:val="toa heading"/>
    <w:basedOn w:val="1"/>
    <w:next w:val="1"/>
    <w:unhideWhenUsed/>
    <w:qFormat/>
    <w:uiPriority w:val="99"/>
    <w:pPr>
      <w:spacing w:before="120"/>
    </w:pPr>
    <w:rPr>
      <w:rFonts w:ascii="Cambria" w:hAnsi="Cambria"/>
      <w:sz w:val="24"/>
      <w:szCs w:val="24"/>
    </w:rPr>
  </w:style>
  <w:style w:type="paragraph" w:styleId="6">
    <w:name w:val="annotation text"/>
    <w:basedOn w:val="1"/>
    <w:link w:val="16"/>
    <w:qFormat/>
    <w:uiPriority w:val="99"/>
    <w:pPr>
      <w:jc w:val="left"/>
    </w:pPr>
    <w:rPr>
      <w:rFonts w:cs="Times New Roman"/>
      <w:kern w:val="0"/>
      <w:sz w:val="20"/>
      <w:szCs w:val="24"/>
    </w:rPr>
  </w:style>
  <w:style w:type="paragraph" w:styleId="7">
    <w:name w:val="footer"/>
    <w:basedOn w:val="1"/>
    <w:link w:val="14"/>
    <w:qFormat/>
    <w:uiPriority w:val="99"/>
    <w:pPr>
      <w:tabs>
        <w:tab w:val="center" w:pos="4153"/>
        <w:tab w:val="right" w:pos="8306"/>
      </w:tabs>
      <w:snapToGrid w:val="0"/>
      <w:jc w:val="left"/>
    </w:pPr>
    <w:rPr>
      <w:sz w:val="18"/>
      <w:szCs w:val="18"/>
    </w:rPr>
  </w:style>
  <w:style w:type="paragraph" w:styleId="8">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szCs w:val="24"/>
    </w:rPr>
  </w:style>
  <w:style w:type="character" w:styleId="12">
    <w:name w:val="page number"/>
    <w:basedOn w:val="11"/>
    <w:qFormat/>
    <w:uiPriority w:val="0"/>
  </w:style>
  <w:style w:type="paragraph" w:styleId="13">
    <w:name w:val="List Paragraph"/>
    <w:basedOn w:val="1"/>
    <w:qFormat/>
    <w:uiPriority w:val="34"/>
    <w:pPr>
      <w:ind w:firstLine="420" w:firstLineChars="200"/>
    </w:pPr>
  </w:style>
  <w:style w:type="character" w:customStyle="1" w:styleId="14">
    <w:name w:val="页脚 Char"/>
    <w:basedOn w:val="11"/>
    <w:link w:val="7"/>
    <w:qFormat/>
    <w:uiPriority w:val="99"/>
    <w:rPr>
      <w:sz w:val="18"/>
      <w:szCs w:val="18"/>
    </w:rPr>
  </w:style>
  <w:style w:type="character" w:customStyle="1" w:styleId="15">
    <w:name w:val="页眉 Char"/>
    <w:basedOn w:val="11"/>
    <w:link w:val="8"/>
    <w:qFormat/>
    <w:uiPriority w:val="99"/>
    <w:rPr>
      <w:sz w:val="18"/>
      <w:szCs w:val="18"/>
    </w:rPr>
  </w:style>
  <w:style w:type="character" w:customStyle="1" w:styleId="16">
    <w:name w:val="批注文字 Char"/>
    <w:basedOn w:val="11"/>
    <w:link w:val="6"/>
    <w:qFormat/>
    <w:uiPriority w:val="99"/>
    <w:rPr>
      <w:rFonts w:ascii="Calibri" w:hAnsi="Calibri"/>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control" Target="activeX/activeX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2308</Words>
  <Characters>2441</Characters>
  <Lines>16</Lines>
  <Paragraphs>4</Paragraphs>
  <TotalTime>26</TotalTime>
  <ScaleCrop>false</ScaleCrop>
  <LinksUpToDate>false</LinksUpToDate>
  <CharactersWithSpaces>2455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2023-04-21T13:17:00Z</dcterms:created>
  <dc:creator>hp440G2</dc:creator>
  <cp:lastModifiedBy>Administrator</cp:lastModifiedBy>
  <cp:lastPrinted>2022-08-11T11:00:00Z</cp:lastPrinted>
  <dcterms:modified xsi:type="dcterms:W3CDTF">2023-05-04T01:19:05Z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28C70822DD074D70AC44543195CA4F75_13</vt:lpwstr>
  </property>
  <property fmtid="{D5CDD505-2E9C-101B-9397-08002B2CF9AE}" pid="4" name="docranid">
    <vt:lpwstr>5706FA9BBAFB4BD3A6B91B52E233A7F0</vt:lpwstr>
  </property>
</Properties>
</file>