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方正小标宋_GBK" w:eastAsia="方正小标宋_GBK"/>
          <w:sz w:val="36"/>
          <w:szCs w:val="36"/>
        </w:rPr>
      </w:pPr>
      <w:r>
        <w:rPr>
          <w:rFonts w:hint="eastAsia" w:ascii="方正小标宋_GBK" w:eastAsia="方正小标宋_GBK"/>
          <w:sz w:val="36"/>
          <w:szCs w:val="36"/>
          <w:lang w:eastAsia="zh-CN"/>
        </w:rPr>
        <w:t>区委组织部</w:t>
      </w:r>
      <w:r>
        <w:rPr>
          <w:rFonts w:hint="default" w:ascii="方正小标宋_GBK" w:eastAsia="方正小标宋_GBK"/>
          <w:sz w:val="36"/>
          <w:szCs w:val="36"/>
        </w:rPr>
        <w:t>财政项目支出绩效评价报告</w:t>
      </w:r>
    </w:p>
    <w:p>
      <w:pPr>
        <w:spacing w:line="600" w:lineRule="exact"/>
        <w:jc w:val="center"/>
        <w:rPr>
          <w:rFonts w:hint="eastAsia" w:ascii="方正小标宋_GBK" w:eastAsia="方正小标宋_GBK"/>
          <w:sz w:val="36"/>
          <w:szCs w:val="36"/>
        </w:rPr>
      </w:pPr>
      <w:r>
        <w:rPr>
          <w:rFonts w:hint="default" w:ascii="方正小标宋_GBK" w:eastAsia="方正小标宋_GBK"/>
          <w:sz w:val="36"/>
          <w:szCs w:val="36"/>
        </w:rPr>
        <w:t>（</w:t>
      </w:r>
      <w:r>
        <w:rPr>
          <w:rFonts w:hint="eastAsia" w:ascii="方正小标宋_GBK" w:eastAsia="方正小标宋_GBK"/>
          <w:sz w:val="36"/>
          <w:szCs w:val="36"/>
          <w:lang w:eastAsia="zh-CN"/>
        </w:rPr>
        <w:t>非公党建工作项目</w:t>
      </w:r>
      <w:r>
        <w:rPr>
          <w:rFonts w:hint="default" w:ascii="方正小标宋_GBK" w:eastAsia="方正小标宋_GBK"/>
          <w:sz w:val="36"/>
          <w:szCs w:val="36"/>
        </w:rPr>
        <w:t>）</w:t>
      </w:r>
    </w:p>
    <w:p>
      <w:pPr>
        <w:jc w:val="center"/>
        <w:rPr>
          <w:rFonts w:ascii="仿宋_GB2312"/>
          <w:szCs w:val="32"/>
        </w:rPr>
      </w:pPr>
    </w:p>
    <w:p>
      <w:pPr>
        <w:ind w:firstLine="632" w:firstLineChars="200"/>
        <w:rPr>
          <w:rFonts w:ascii="仿宋_GB2312"/>
          <w:b/>
          <w:szCs w:val="32"/>
        </w:rPr>
      </w:pPr>
      <w:r>
        <w:rPr>
          <w:rFonts w:hint="eastAsia" w:ascii="仿宋_GB2312"/>
          <w:b/>
          <w:szCs w:val="32"/>
        </w:rPr>
        <w:t>一、项目基本情况</w:t>
      </w:r>
    </w:p>
    <w:p>
      <w:pPr>
        <w:ind w:firstLine="632" w:firstLineChars="200"/>
        <w:jc w:val="both"/>
        <w:rPr>
          <w:rFonts w:ascii="仿宋_GB2312"/>
          <w:szCs w:val="32"/>
        </w:rPr>
      </w:pPr>
      <w:r>
        <w:rPr>
          <w:rFonts w:hint="eastAsia" w:ascii="仿宋_GB2312"/>
          <w:szCs w:val="32"/>
        </w:rPr>
        <w:t>紧扣党员教育、阵地建设、组织活动、制度管理、服务保障等重点工作，</w:t>
      </w:r>
      <w:r>
        <w:rPr>
          <w:rFonts w:hint="eastAsia" w:ascii="Times New Roman" w:hAnsi="Times New Roman" w:eastAsia="仿宋_GB2312"/>
          <w:sz w:val="32"/>
          <w:szCs w:val="32"/>
        </w:rPr>
        <w:t>立足“</w:t>
      </w:r>
      <w:r>
        <w:rPr>
          <w:rFonts w:hint="eastAsia" w:ascii="Times New Roman" w:hAnsi="Times New Roman"/>
          <w:sz w:val="32"/>
          <w:szCs w:val="32"/>
          <w:lang w:eastAsia="zh-CN"/>
        </w:rPr>
        <w:t>两类</w:t>
      </w:r>
      <w:r>
        <w:rPr>
          <w:rFonts w:hint="eastAsia" w:ascii="Times New Roman" w:hAnsi="Times New Roman" w:eastAsia="仿宋_GB2312"/>
          <w:sz w:val="32"/>
          <w:szCs w:val="32"/>
        </w:rPr>
        <w:t>”组织发展的实际，立足党员和员工的需求，按照“无组织抓组建，有组织抓规范，软弱涣散抓整改”的工作思路，</w:t>
      </w:r>
      <w:r>
        <w:rPr>
          <w:rFonts w:hint="eastAsia" w:ascii="Times New Roman" w:hAnsi="Times New Roman"/>
          <w:sz w:val="32"/>
          <w:szCs w:val="32"/>
          <w:lang w:eastAsia="zh-CN"/>
        </w:rPr>
        <w:t>全面提升</w:t>
      </w:r>
      <w:r>
        <w:rPr>
          <w:rFonts w:hint="eastAsia" w:ascii="仿宋_GB2312"/>
          <w:szCs w:val="32"/>
        </w:rPr>
        <w:t>“两</w:t>
      </w:r>
      <w:r>
        <w:rPr>
          <w:rFonts w:hint="eastAsia" w:ascii="仿宋_GB2312"/>
          <w:szCs w:val="32"/>
          <w:lang w:eastAsia="zh-CN"/>
        </w:rPr>
        <w:t>类</w:t>
      </w:r>
      <w:r>
        <w:rPr>
          <w:rFonts w:hint="eastAsia" w:ascii="仿宋_GB2312"/>
          <w:szCs w:val="32"/>
        </w:rPr>
        <w:t>”组织党建工作水平</w:t>
      </w:r>
      <w:r>
        <w:rPr>
          <w:rFonts w:hint="eastAsia" w:ascii="仿宋_GB2312"/>
          <w:szCs w:val="32"/>
          <w:lang w:eastAsia="zh-CN"/>
        </w:rPr>
        <w:t>，</w:t>
      </w:r>
      <w:r>
        <w:rPr>
          <w:rFonts w:hint="eastAsia" w:ascii="仿宋_GB2312"/>
          <w:szCs w:val="32"/>
        </w:rPr>
        <w:t>全区非公经济和社会组织健康发展提供了坚强的组织保证。</w:t>
      </w:r>
    </w:p>
    <w:p>
      <w:pPr>
        <w:numPr>
          <w:ilvl w:val="0"/>
          <w:numId w:val="1"/>
        </w:numPr>
        <w:ind w:firstLine="632" w:firstLineChars="200"/>
        <w:rPr>
          <w:rFonts w:hint="eastAsia" w:ascii="仿宋_GB2312"/>
          <w:b/>
          <w:szCs w:val="32"/>
        </w:rPr>
      </w:pPr>
      <w:r>
        <w:rPr>
          <w:rFonts w:hint="eastAsia" w:ascii="仿宋_GB2312"/>
          <w:b/>
          <w:szCs w:val="32"/>
        </w:rPr>
        <w:t>项目单位绩效报告情况</w:t>
      </w:r>
    </w:p>
    <w:p>
      <w:pPr>
        <w:ind w:firstLine="632" w:firstLineChars="200"/>
        <w:rPr>
          <w:rFonts w:hint="eastAsia" w:ascii="仿宋_GB2312"/>
          <w:b/>
          <w:szCs w:val="32"/>
        </w:rPr>
      </w:pPr>
      <w:r>
        <w:rPr>
          <w:rFonts w:hint="eastAsia" w:ascii="Times New Roman" w:hAnsi="Times New Roman" w:eastAsia="仿宋_GB2312"/>
          <w:sz w:val="32"/>
          <w:szCs w:val="32"/>
          <w:lang w:val="en-US" w:eastAsia="zh-CN"/>
        </w:rPr>
        <w:t>2016年，非公党建项目具体实施单位为各街道及各行业主管部门</w:t>
      </w:r>
      <w:r>
        <w:rPr>
          <w:rFonts w:hint="eastAsia" w:ascii="Times New Roman" w:hAnsi="Times New Roman"/>
          <w:sz w:val="32"/>
          <w:szCs w:val="32"/>
          <w:lang w:val="en-US" w:eastAsia="zh-CN"/>
        </w:rPr>
        <w:t>。各项目实施单位根据资金管理使用情况认真进行自检自查，形成绩效报告，报区委组织部审核汇总。</w:t>
      </w:r>
    </w:p>
    <w:p>
      <w:pPr>
        <w:ind w:firstLine="632" w:firstLineChars="200"/>
        <w:rPr>
          <w:rFonts w:ascii="仿宋_GB2312"/>
          <w:b/>
          <w:szCs w:val="32"/>
        </w:rPr>
      </w:pPr>
      <w:r>
        <w:rPr>
          <w:rFonts w:hint="eastAsia" w:ascii="仿宋_GB2312"/>
          <w:b/>
          <w:szCs w:val="32"/>
        </w:rPr>
        <w:t>三、绩效评价工作情况</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jc w:val="both"/>
        <w:textAlignment w:val="auto"/>
        <w:rPr>
          <w:rFonts w:hint="eastAsia" w:ascii="楷体" w:hAnsi="楷体" w:eastAsia="楷体" w:cs="楷体"/>
          <w:szCs w:val="32"/>
          <w:lang w:eastAsia="zh-CN"/>
        </w:rPr>
      </w:pPr>
      <w:r>
        <w:rPr>
          <w:rFonts w:hint="eastAsia" w:ascii="楷体" w:hAnsi="楷体" w:eastAsia="楷体" w:cs="楷体"/>
          <w:szCs w:val="32"/>
          <w:lang w:val="en-US" w:eastAsia="zh-CN"/>
        </w:rPr>
        <w:t xml:space="preserve">   （一）</w:t>
      </w:r>
      <w:r>
        <w:rPr>
          <w:rFonts w:hint="eastAsia" w:ascii="楷体" w:hAnsi="楷体" w:eastAsia="楷体" w:cs="楷体"/>
          <w:szCs w:val="32"/>
          <w:lang w:eastAsia="zh-CN"/>
        </w:rPr>
        <w:t>绩效评价目的</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firstLine="640"/>
        <w:jc w:val="both"/>
        <w:textAlignment w:val="auto"/>
        <w:rPr>
          <w:rFonts w:hint="eastAsia" w:ascii="仿宋_GB2312"/>
          <w:color w:val="000000"/>
          <w:sz w:val="32"/>
          <w:szCs w:val="32"/>
          <w:lang w:eastAsia="zh-CN"/>
        </w:rPr>
      </w:pPr>
      <w:r>
        <w:rPr>
          <w:rFonts w:hint="eastAsia" w:ascii="仿宋_GB2312"/>
          <w:szCs w:val="32"/>
          <w:lang w:eastAsia="zh-CN"/>
        </w:rPr>
        <w:t>通过运用科学合理的绩效评价指标、评价标准和评价方法，对</w:t>
      </w:r>
      <w:r>
        <w:rPr>
          <w:rFonts w:hint="eastAsia" w:ascii="仿宋_GB2312"/>
          <w:szCs w:val="32"/>
          <w:lang w:val="en-US" w:eastAsia="zh-CN"/>
        </w:rPr>
        <w:t>1,277,000.00</w:t>
      </w:r>
      <w:r>
        <w:rPr>
          <w:rFonts w:hint="eastAsia" w:ascii="仿宋_GB2312" w:eastAsia="仿宋_GB2312"/>
          <w:color w:val="000000"/>
          <w:sz w:val="32"/>
          <w:szCs w:val="32"/>
        </w:rPr>
        <w:t>元</w:t>
      </w:r>
      <w:r>
        <w:rPr>
          <w:rFonts w:hint="eastAsia" w:ascii="仿宋_GB2312"/>
          <w:color w:val="000000"/>
          <w:sz w:val="32"/>
          <w:szCs w:val="32"/>
          <w:lang w:eastAsia="zh-CN"/>
        </w:rPr>
        <w:t>非公党建工作项目经费的经济性、效率性和效益性进行客观、公正的评价。</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jc w:val="both"/>
        <w:textAlignment w:val="auto"/>
        <w:rPr>
          <w:rFonts w:hint="eastAsia" w:ascii="楷体" w:hAnsi="楷体" w:eastAsia="楷体" w:cs="楷体"/>
          <w:szCs w:val="32"/>
          <w:lang w:eastAsia="zh-CN"/>
        </w:rPr>
      </w:pPr>
      <w:r>
        <w:rPr>
          <w:rFonts w:hint="eastAsia" w:ascii="楷体" w:hAnsi="楷体" w:eastAsia="楷体" w:cs="楷体"/>
          <w:szCs w:val="32"/>
          <w:lang w:val="en-US" w:eastAsia="zh-CN"/>
        </w:rPr>
        <w:t xml:space="preserve">    （二）</w:t>
      </w:r>
      <w:r>
        <w:rPr>
          <w:rFonts w:hint="eastAsia" w:ascii="楷体" w:hAnsi="楷体" w:eastAsia="楷体" w:cs="楷体"/>
          <w:szCs w:val="32"/>
          <w:lang w:eastAsia="zh-CN"/>
        </w:rPr>
        <w:t>绩效评价原则、评价指标体系、评价方法</w:t>
      </w:r>
    </w:p>
    <w:p>
      <w:pPr>
        <w:numPr>
          <w:ilvl w:val="0"/>
          <w:numId w:val="0"/>
        </w:numPr>
        <w:ind w:firstLine="640"/>
        <w:rPr>
          <w:rFonts w:hint="eastAsia" w:ascii="Times New Roman" w:hAnsi="Times New Roman"/>
          <w:sz w:val="32"/>
          <w:szCs w:val="32"/>
          <w:lang w:eastAsia="zh-CN"/>
        </w:rPr>
      </w:pPr>
      <w:r>
        <w:rPr>
          <w:rFonts w:hint="eastAsia" w:ascii="仿宋_GB2312"/>
          <w:szCs w:val="32"/>
          <w:lang w:val="en-US" w:eastAsia="zh-CN"/>
        </w:rPr>
        <w:t>数量指标：全部新建</w:t>
      </w:r>
      <w:r>
        <w:rPr>
          <w:rFonts w:hint="eastAsia" w:ascii="Times New Roman" w:hAnsi="Times New Roman" w:eastAsia="仿宋_GB2312"/>
          <w:sz w:val="32"/>
          <w:szCs w:val="32"/>
        </w:rPr>
        <w:t>非公经济党组织</w:t>
      </w:r>
      <w:r>
        <w:rPr>
          <w:rFonts w:hint="eastAsia" w:ascii="Times New Roman" w:hAnsi="Times New Roman"/>
          <w:sz w:val="32"/>
          <w:szCs w:val="32"/>
          <w:lang w:eastAsia="zh-CN"/>
        </w:rPr>
        <w:t>和</w:t>
      </w:r>
      <w:r>
        <w:rPr>
          <w:rFonts w:hint="eastAsia" w:ascii="Times New Roman" w:hAnsi="Times New Roman" w:eastAsia="仿宋_GB2312"/>
          <w:sz w:val="32"/>
          <w:szCs w:val="32"/>
        </w:rPr>
        <w:t>社会组织党组织</w:t>
      </w:r>
      <w:r>
        <w:rPr>
          <w:rFonts w:hint="eastAsia" w:ascii="Times New Roman" w:hAnsi="Times New Roman"/>
          <w:sz w:val="32"/>
          <w:szCs w:val="32"/>
          <w:lang w:eastAsia="zh-CN"/>
        </w:rPr>
        <w:t>不少于</w:t>
      </w:r>
      <w:r>
        <w:rPr>
          <w:rFonts w:hint="eastAsia" w:ascii="Times New Roman" w:hAnsi="Times New Roman"/>
          <w:sz w:val="32"/>
          <w:szCs w:val="32"/>
          <w:lang w:val="en-US" w:eastAsia="zh-CN"/>
        </w:rPr>
        <w:t>100个；</w:t>
      </w:r>
      <w:r>
        <w:rPr>
          <w:rFonts w:hint="eastAsia" w:ascii="Times New Roman" w:hAnsi="Times New Roman" w:eastAsia="仿宋_GB2312"/>
          <w:sz w:val="32"/>
          <w:szCs w:val="32"/>
        </w:rPr>
        <w:t>非公经济党组织</w:t>
      </w:r>
      <w:r>
        <w:rPr>
          <w:rFonts w:hint="eastAsia" w:ascii="Times New Roman" w:hAnsi="Times New Roman"/>
          <w:sz w:val="32"/>
          <w:szCs w:val="32"/>
          <w:lang w:eastAsia="zh-CN"/>
        </w:rPr>
        <w:t>和</w:t>
      </w:r>
      <w:r>
        <w:rPr>
          <w:rFonts w:hint="eastAsia" w:ascii="Times New Roman" w:hAnsi="Times New Roman" w:eastAsia="仿宋_GB2312"/>
          <w:sz w:val="32"/>
          <w:szCs w:val="32"/>
        </w:rPr>
        <w:t>社会组织党组织覆盖率</w:t>
      </w:r>
      <w:r>
        <w:rPr>
          <w:rFonts w:hint="eastAsia" w:ascii="Times New Roman" w:hAnsi="Times New Roman"/>
          <w:sz w:val="32"/>
          <w:szCs w:val="32"/>
          <w:lang w:eastAsia="zh-CN"/>
        </w:rPr>
        <w:t>不低于</w:t>
      </w:r>
      <w:r>
        <w:rPr>
          <w:rFonts w:hint="eastAsia" w:ascii="Times New Roman" w:hAnsi="Times New Roman"/>
          <w:sz w:val="32"/>
          <w:szCs w:val="32"/>
          <w:lang w:val="en-US" w:eastAsia="zh-CN"/>
        </w:rPr>
        <w:t>80%；对</w:t>
      </w:r>
      <w:r>
        <w:rPr>
          <w:rFonts w:hint="eastAsia" w:ascii="Times New Roman" w:hAnsi="Times New Roman" w:eastAsia="仿宋_GB2312"/>
          <w:sz w:val="32"/>
          <w:szCs w:val="32"/>
        </w:rPr>
        <w:t>“</w:t>
      </w:r>
      <w:r>
        <w:rPr>
          <w:rFonts w:hint="eastAsia" w:ascii="Times New Roman" w:hAnsi="Times New Roman"/>
          <w:sz w:val="32"/>
          <w:szCs w:val="32"/>
          <w:lang w:eastAsia="zh-CN"/>
        </w:rPr>
        <w:t>两类</w:t>
      </w:r>
      <w:r>
        <w:rPr>
          <w:rFonts w:hint="eastAsia" w:ascii="Times New Roman" w:hAnsi="Times New Roman" w:eastAsia="仿宋_GB2312"/>
          <w:sz w:val="32"/>
          <w:szCs w:val="32"/>
        </w:rPr>
        <w:t>”组织党组织书记轮训</w:t>
      </w:r>
      <w:r>
        <w:rPr>
          <w:rFonts w:hint="eastAsia" w:ascii="Times New Roman" w:hAnsi="Times New Roman"/>
          <w:sz w:val="32"/>
          <w:szCs w:val="32"/>
          <w:lang w:eastAsia="zh-CN"/>
        </w:rPr>
        <w:t>不低于</w:t>
      </w:r>
      <w:r>
        <w:rPr>
          <w:rFonts w:hint="eastAsia" w:ascii="Times New Roman" w:hAnsi="Times New Roman"/>
          <w:sz w:val="32"/>
          <w:szCs w:val="32"/>
          <w:lang w:val="en-US" w:eastAsia="zh-CN"/>
        </w:rPr>
        <w:t>40人；</w:t>
      </w:r>
      <w:r>
        <w:rPr>
          <w:rFonts w:hint="eastAsia" w:ascii="Times New Roman" w:hAnsi="Times New Roman" w:eastAsia="仿宋_GB2312"/>
          <w:sz w:val="32"/>
          <w:szCs w:val="32"/>
        </w:rPr>
        <w:t>“</w:t>
      </w:r>
      <w:r>
        <w:rPr>
          <w:rFonts w:hint="eastAsia" w:ascii="Times New Roman" w:hAnsi="Times New Roman"/>
          <w:sz w:val="32"/>
          <w:szCs w:val="32"/>
          <w:lang w:eastAsia="zh-CN"/>
        </w:rPr>
        <w:t>两类</w:t>
      </w:r>
      <w:r>
        <w:rPr>
          <w:rFonts w:hint="eastAsia" w:ascii="Times New Roman" w:hAnsi="Times New Roman" w:eastAsia="仿宋_GB2312"/>
          <w:sz w:val="32"/>
          <w:szCs w:val="32"/>
        </w:rPr>
        <w:t>”组织入党积极分子暨发展对象培训</w:t>
      </w:r>
      <w:r>
        <w:rPr>
          <w:rFonts w:hint="eastAsia" w:ascii="Times New Roman" w:hAnsi="Times New Roman"/>
          <w:sz w:val="32"/>
          <w:szCs w:val="32"/>
          <w:lang w:eastAsia="zh-CN"/>
        </w:rPr>
        <w:t>不低于</w:t>
      </w:r>
      <w:r>
        <w:rPr>
          <w:rFonts w:hint="eastAsia" w:ascii="Times New Roman" w:hAnsi="Times New Roman"/>
          <w:sz w:val="32"/>
          <w:szCs w:val="32"/>
          <w:lang w:val="en-US" w:eastAsia="zh-CN"/>
        </w:rPr>
        <w:t>50人</w:t>
      </w:r>
      <w:r>
        <w:rPr>
          <w:rFonts w:hint="eastAsia" w:ascii="Times New Roman" w:hAnsi="Times New Roman"/>
          <w:sz w:val="32"/>
          <w:szCs w:val="32"/>
          <w:lang w:eastAsia="zh-CN"/>
        </w:rPr>
        <w:t>。</w:t>
      </w:r>
    </w:p>
    <w:p>
      <w:pPr>
        <w:numPr>
          <w:ilvl w:val="0"/>
          <w:numId w:val="0"/>
        </w:numPr>
        <w:ind w:firstLine="640"/>
        <w:rPr>
          <w:rFonts w:hint="eastAsia" w:ascii="仿宋_GB2312"/>
          <w:color w:val="000000"/>
          <w:sz w:val="32"/>
          <w:szCs w:val="32"/>
          <w:lang w:eastAsia="zh-CN"/>
        </w:rPr>
      </w:pPr>
      <w:r>
        <w:rPr>
          <w:rFonts w:hint="eastAsia" w:ascii="Times New Roman" w:hAnsi="Times New Roman"/>
          <w:sz w:val="32"/>
          <w:szCs w:val="32"/>
          <w:lang w:val="en-US" w:eastAsia="zh-CN"/>
        </w:rPr>
        <w:t>质量指标：以基层党组织规范化建设为基层，巩固提升“两类”组织党建工作示范点建设成效，以点带面、整体提升，服务全区非公有制经济组织和社会组织健康发展。</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jc w:val="both"/>
        <w:textAlignment w:val="auto"/>
        <w:rPr>
          <w:rFonts w:hint="eastAsia" w:ascii="仿宋_GB2312"/>
          <w:color w:val="000000"/>
          <w:sz w:val="32"/>
          <w:szCs w:val="32"/>
          <w:lang w:eastAsia="zh-CN"/>
        </w:rPr>
      </w:pPr>
      <w:r>
        <w:rPr>
          <w:rFonts w:hint="eastAsia" w:ascii="仿宋_GB2312"/>
          <w:szCs w:val="32"/>
          <w:lang w:val="en-US" w:eastAsia="zh-CN"/>
        </w:rPr>
        <w:t xml:space="preserve"> </w:t>
      </w:r>
      <w:r>
        <w:rPr>
          <w:rFonts w:hint="eastAsia" w:ascii="楷体" w:hAnsi="楷体" w:eastAsia="楷体" w:cs="楷体"/>
          <w:szCs w:val="32"/>
          <w:lang w:val="en-US" w:eastAsia="zh-CN"/>
        </w:rPr>
        <w:t xml:space="preserve">   （三）</w:t>
      </w:r>
      <w:r>
        <w:rPr>
          <w:rFonts w:hint="eastAsia" w:ascii="楷体" w:hAnsi="楷体" w:eastAsia="楷体" w:cs="楷体"/>
          <w:szCs w:val="32"/>
          <w:lang w:eastAsia="zh-CN"/>
        </w:rPr>
        <w:t>绩效评价工作过程</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firstLine="640"/>
        <w:jc w:val="both"/>
        <w:textAlignment w:val="auto"/>
        <w:rPr>
          <w:rFonts w:hint="eastAsia" w:ascii="仿宋_GB2312"/>
          <w:color w:val="000000"/>
          <w:sz w:val="32"/>
          <w:szCs w:val="32"/>
          <w:lang w:eastAsia="zh-CN"/>
        </w:rPr>
      </w:pPr>
      <w:r>
        <w:rPr>
          <w:rFonts w:hint="eastAsia" w:ascii="仿宋_GB2312"/>
          <w:b/>
          <w:bCs/>
          <w:color w:val="000000"/>
          <w:sz w:val="32"/>
          <w:szCs w:val="32"/>
          <w:lang w:eastAsia="zh-CN"/>
        </w:rPr>
        <w:t>1. 前期准备：</w:t>
      </w:r>
      <w:r>
        <w:rPr>
          <w:rFonts w:hint="eastAsia" w:ascii="仿宋_GB2312"/>
          <w:color w:val="000000"/>
          <w:sz w:val="32"/>
          <w:szCs w:val="32"/>
          <w:lang w:eastAsia="zh-CN"/>
        </w:rPr>
        <w:t>按照绩效自评工作要求，组成以呈贡区非公经济组织和社会组织党工委书记为组长的绩效评价工作小组，对相关的国家法律法规进行了认真学习，掌握政策，根据部门整体收支情况制定了部门整体支出绩效评价实施方案，设计了绩效评价指标体系表。</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firstLine="640"/>
        <w:jc w:val="both"/>
        <w:textAlignment w:val="auto"/>
        <w:rPr>
          <w:rFonts w:hint="eastAsia" w:ascii="仿宋_GB2312"/>
          <w:color w:val="000000"/>
          <w:sz w:val="32"/>
          <w:szCs w:val="32"/>
          <w:lang w:eastAsia="zh-CN"/>
        </w:rPr>
      </w:pPr>
      <w:r>
        <w:rPr>
          <w:rFonts w:hint="eastAsia" w:ascii="仿宋_GB2312"/>
          <w:b/>
          <w:bCs/>
          <w:color w:val="000000"/>
          <w:sz w:val="32"/>
          <w:szCs w:val="32"/>
          <w:lang w:eastAsia="zh-CN"/>
        </w:rPr>
        <w:t>2. 组织实施：</w:t>
      </w:r>
      <w:r>
        <w:rPr>
          <w:rFonts w:hint="eastAsia" w:ascii="仿宋_GB2312"/>
          <w:color w:val="000000"/>
          <w:sz w:val="32"/>
          <w:szCs w:val="32"/>
          <w:lang w:eastAsia="zh-CN"/>
        </w:rPr>
        <w:t>采用核查法核查201</w:t>
      </w:r>
      <w:r>
        <w:rPr>
          <w:rFonts w:hint="eastAsia" w:ascii="仿宋_GB2312"/>
          <w:color w:val="000000"/>
          <w:sz w:val="32"/>
          <w:szCs w:val="32"/>
          <w:lang w:val="en-US" w:eastAsia="zh-CN"/>
        </w:rPr>
        <w:t>6</w:t>
      </w:r>
      <w:r>
        <w:rPr>
          <w:rFonts w:hint="eastAsia" w:ascii="仿宋_GB2312"/>
          <w:color w:val="000000"/>
          <w:sz w:val="32"/>
          <w:szCs w:val="32"/>
          <w:lang w:eastAsia="zh-CN"/>
        </w:rPr>
        <w:t>年财政预算批复执行及部门整体支出情况，着重核查了“三公”经费及资产管理、内部控制制度情况，对内设机构，根据部门职能和年初制定的绩效考核目标，进行了实地绩效考评。</w:t>
      </w:r>
    </w:p>
    <w:p>
      <w:pPr>
        <w:keepNext w:val="0"/>
        <w:keepLines w:val="0"/>
        <w:pageBreakBefore w:val="0"/>
        <w:widowControl w:val="0"/>
        <w:numPr>
          <w:ilvl w:val="0"/>
          <w:numId w:val="0"/>
        </w:numPr>
        <w:kinsoku/>
        <w:wordWrap/>
        <w:overflowPunct/>
        <w:topLinePunct/>
        <w:autoSpaceDE/>
        <w:autoSpaceDN/>
        <w:bidi w:val="0"/>
        <w:spacing w:line="560" w:lineRule="exact"/>
        <w:ind w:left="0" w:leftChars="0" w:right="0" w:rightChars="0" w:firstLine="640"/>
        <w:jc w:val="both"/>
        <w:textAlignment w:val="auto"/>
        <w:rPr>
          <w:rFonts w:hint="eastAsia" w:ascii="仿宋_GB2312"/>
          <w:color w:val="000000"/>
          <w:sz w:val="32"/>
          <w:szCs w:val="32"/>
          <w:lang w:eastAsia="zh-CN"/>
        </w:rPr>
      </w:pPr>
      <w:r>
        <w:rPr>
          <w:rFonts w:hint="eastAsia" w:ascii="仿宋_GB2312"/>
          <w:b/>
          <w:bCs/>
          <w:color w:val="000000"/>
          <w:sz w:val="32"/>
          <w:szCs w:val="32"/>
          <w:lang w:eastAsia="zh-CN"/>
        </w:rPr>
        <w:t>3. 分析评价：</w:t>
      </w:r>
      <w:r>
        <w:rPr>
          <w:rFonts w:hint="eastAsia" w:ascii="仿宋_GB2312"/>
          <w:color w:val="000000"/>
          <w:sz w:val="32"/>
          <w:szCs w:val="32"/>
          <w:lang w:eastAsia="zh-CN"/>
        </w:rPr>
        <w:t>对街道、社区等项目实施单位报送情况进行核查并开展现场评价工作，对评价过程中收集资料进行归纳，汇总分析，依据设定的部门整体支出绩效评价指标体系进行了评分，形成综合性书面报告。</w:t>
      </w:r>
    </w:p>
    <w:p>
      <w:pPr>
        <w:ind w:firstLine="632" w:firstLineChars="200"/>
        <w:rPr>
          <w:rFonts w:ascii="仿宋_GB2312"/>
          <w:b/>
          <w:szCs w:val="32"/>
        </w:rPr>
      </w:pPr>
      <w:r>
        <w:rPr>
          <w:rFonts w:hint="eastAsia" w:ascii="仿宋_GB2312"/>
          <w:b/>
          <w:szCs w:val="32"/>
        </w:rPr>
        <w:t>四、绩效评价指标分析情况</w:t>
      </w:r>
    </w:p>
    <w:p>
      <w:pPr>
        <w:ind w:firstLine="632" w:firstLineChars="200"/>
        <w:outlineLvl w:val="0"/>
        <w:rPr>
          <w:rFonts w:hint="eastAsia" w:ascii="楷体" w:hAnsi="楷体" w:eastAsia="楷体" w:cs="楷体"/>
          <w:szCs w:val="32"/>
        </w:rPr>
      </w:pPr>
      <w:r>
        <w:rPr>
          <w:rFonts w:hint="eastAsia" w:ascii="楷体" w:hAnsi="楷体" w:eastAsia="楷体" w:cs="楷体"/>
          <w:szCs w:val="32"/>
        </w:rPr>
        <w:t>（一）项目资金情况分析</w:t>
      </w:r>
    </w:p>
    <w:p>
      <w:pPr>
        <w:ind w:firstLine="640" w:firstLineChars="200"/>
        <w:rPr>
          <w:rFonts w:hint="eastAsia" w:ascii="Times New Roman" w:hAnsi="Times New Roman"/>
          <w:sz w:val="32"/>
          <w:szCs w:val="32"/>
          <w:lang w:eastAsia="zh-CN"/>
        </w:rPr>
      </w:pPr>
      <w:r>
        <w:rPr>
          <w:rFonts w:hint="eastAsia" w:ascii="Times New Roman" w:hAnsi="Times New Roman" w:eastAsia="仿宋_GB2312"/>
          <w:sz w:val="32"/>
          <w:szCs w:val="32"/>
          <w:lang w:val="en-US" w:eastAsia="zh-CN"/>
        </w:rPr>
        <w:t>2016年，呈贡区委组织部</w:t>
      </w:r>
      <w:r>
        <w:rPr>
          <w:rFonts w:hint="eastAsia" w:ascii="Times New Roman" w:hAnsi="Times New Roman"/>
          <w:sz w:val="32"/>
          <w:szCs w:val="32"/>
          <w:lang w:val="en-US" w:eastAsia="zh-CN"/>
        </w:rPr>
        <w:t>投入资金</w:t>
      </w:r>
      <w:r>
        <w:rPr>
          <w:rFonts w:hint="eastAsia" w:ascii="Times New Roman" w:hAnsi="Times New Roman" w:eastAsia="仿宋_GB2312"/>
          <w:sz w:val="32"/>
          <w:szCs w:val="32"/>
          <w:lang w:val="en-US" w:eastAsia="zh-CN"/>
        </w:rPr>
        <w:t>1,277,000.00</w:t>
      </w:r>
      <w:r>
        <w:rPr>
          <w:rFonts w:hint="eastAsia" w:ascii="Times New Roman" w:hAnsi="Times New Roman"/>
          <w:sz w:val="32"/>
          <w:szCs w:val="32"/>
          <w:lang w:val="en-US" w:eastAsia="zh-CN"/>
        </w:rPr>
        <w:t>元用于开展非公党建工作。根据</w:t>
      </w:r>
      <w:r>
        <w:rPr>
          <w:rFonts w:hint="eastAsia" w:ascii="仿宋_GB2312" w:hAnsi="Times New Roman" w:eastAsia="仿宋_GB2312" w:cs="Times New Roman"/>
          <w:sz w:val="32"/>
          <w:szCs w:val="32"/>
        </w:rPr>
        <w:t>中共昆明市委办公厅《关于加强社会组织党的建设工作的实施意见（试行）的通知》（昆办发〔</w:t>
      </w:r>
      <w:r>
        <w:rPr>
          <w:rFonts w:ascii="仿宋_GB2312" w:hAnsi="Times New Roman" w:eastAsia="仿宋_GB2312" w:cs="Times New Roman"/>
          <w:sz w:val="32"/>
          <w:szCs w:val="32"/>
        </w:rPr>
        <w:t>2016</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17</w:t>
      </w:r>
      <w:r>
        <w:rPr>
          <w:rFonts w:hint="eastAsia" w:ascii="仿宋_GB2312" w:hAnsi="Times New Roman" w:eastAsia="仿宋_GB2312" w:cs="Times New Roman"/>
          <w:sz w:val="32"/>
          <w:szCs w:val="32"/>
        </w:rPr>
        <w:t>号）文件精神，</w:t>
      </w:r>
      <w:r>
        <w:rPr>
          <w:rFonts w:hint="eastAsia" w:ascii="Times New Roman" w:hAnsi="Times New Roman" w:eastAsia="仿宋_GB2312"/>
          <w:sz w:val="32"/>
          <w:szCs w:val="32"/>
        </w:rPr>
        <w:t>按照党委10000元，总支8000元，支部5000元</w:t>
      </w:r>
      <w:r>
        <w:rPr>
          <w:rFonts w:hint="eastAsia" w:ascii="Times New Roman" w:hAnsi="Times New Roman"/>
          <w:sz w:val="32"/>
          <w:szCs w:val="32"/>
          <w:lang w:eastAsia="zh-CN"/>
        </w:rPr>
        <w:t>的</w:t>
      </w:r>
      <w:r>
        <w:rPr>
          <w:rFonts w:hint="eastAsia" w:ascii="Times New Roman" w:hAnsi="Times New Roman" w:eastAsia="仿宋_GB2312"/>
          <w:sz w:val="32"/>
          <w:szCs w:val="32"/>
        </w:rPr>
        <w:t>标准</w:t>
      </w:r>
      <w:r>
        <w:rPr>
          <w:rFonts w:hint="eastAsia" w:ascii="Times New Roman" w:hAnsi="Times New Roman"/>
          <w:sz w:val="32"/>
          <w:szCs w:val="32"/>
          <w:lang w:eastAsia="zh-CN"/>
        </w:rPr>
        <w:t>，对</w:t>
      </w:r>
      <w:r>
        <w:rPr>
          <w:rFonts w:hint="eastAsia" w:ascii="Times New Roman" w:hAnsi="Times New Roman"/>
          <w:sz w:val="32"/>
          <w:szCs w:val="32"/>
          <w:lang w:val="en-US" w:eastAsia="zh-CN"/>
        </w:rPr>
        <w:t>183个新成立</w:t>
      </w:r>
      <w:r>
        <w:rPr>
          <w:rFonts w:hint="eastAsia" w:ascii="Times New Roman" w:hAnsi="Times New Roman" w:eastAsia="仿宋_GB2312"/>
          <w:sz w:val="32"/>
          <w:szCs w:val="32"/>
        </w:rPr>
        <w:t>“两新”组织</w:t>
      </w:r>
      <w:r>
        <w:rPr>
          <w:rFonts w:hint="eastAsia" w:ascii="Times New Roman" w:hAnsi="Times New Roman"/>
          <w:sz w:val="32"/>
          <w:szCs w:val="32"/>
          <w:lang w:eastAsia="zh-CN"/>
        </w:rPr>
        <w:t>进行工作经费补助，</w:t>
      </w:r>
      <w:r>
        <w:rPr>
          <w:rFonts w:hint="eastAsia" w:ascii="Times New Roman" w:hAnsi="Times New Roman" w:eastAsia="仿宋_GB2312"/>
          <w:sz w:val="32"/>
          <w:szCs w:val="32"/>
        </w:rPr>
        <w:t>工作经费由街道或行业主管部门统一管理，</w:t>
      </w:r>
      <w:r>
        <w:rPr>
          <w:rFonts w:hint="eastAsia" w:ascii="Times New Roman" w:hAnsi="Times New Roman"/>
          <w:sz w:val="32"/>
          <w:szCs w:val="32"/>
          <w:lang w:eastAsia="zh-CN"/>
        </w:rPr>
        <w:t>用于</w:t>
      </w:r>
      <w:r>
        <w:rPr>
          <w:rFonts w:hint="eastAsia" w:ascii="Times New Roman" w:hAnsi="Times New Roman"/>
          <w:sz w:val="32"/>
          <w:szCs w:val="32"/>
          <w:lang w:val="en-US" w:eastAsia="zh-CN"/>
        </w:rPr>
        <w:t>新成立</w:t>
      </w:r>
      <w:r>
        <w:rPr>
          <w:rFonts w:hint="eastAsia" w:ascii="Times New Roman" w:hAnsi="Times New Roman" w:eastAsia="仿宋_GB2312"/>
          <w:sz w:val="32"/>
          <w:szCs w:val="32"/>
        </w:rPr>
        <w:t>“两新”组织</w:t>
      </w:r>
      <w:r>
        <w:rPr>
          <w:rFonts w:hint="eastAsia" w:ascii="Times New Roman" w:hAnsi="Times New Roman"/>
          <w:sz w:val="32"/>
          <w:szCs w:val="32"/>
          <w:lang w:eastAsia="zh-CN"/>
        </w:rPr>
        <w:t>开展日常党建工作及党员教育培训。</w:t>
      </w:r>
    </w:p>
    <w:p>
      <w:pPr>
        <w:numPr>
          <w:ilvl w:val="0"/>
          <w:numId w:val="2"/>
        </w:numPr>
        <w:ind w:firstLine="632" w:firstLineChars="200"/>
        <w:outlineLvl w:val="0"/>
        <w:rPr>
          <w:rFonts w:hint="eastAsia" w:ascii="仿宋_GB2312"/>
          <w:szCs w:val="32"/>
        </w:rPr>
      </w:pPr>
      <w:r>
        <w:rPr>
          <w:rFonts w:hint="eastAsia" w:ascii="仿宋_GB2312"/>
          <w:szCs w:val="32"/>
        </w:rPr>
        <w:t>项目实施情况分析</w:t>
      </w:r>
    </w:p>
    <w:p>
      <w:pPr>
        <w:numPr>
          <w:ilvl w:val="0"/>
          <w:numId w:val="0"/>
        </w:numPr>
        <w:outlineLvl w:val="0"/>
        <w:rPr>
          <w:rFonts w:hint="eastAsia" w:ascii="仿宋_GB2312"/>
          <w:szCs w:val="32"/>
        </w:rPr>
      </w:pPr>
      <w:r>
        <w:rPr>
          <w:rFonts w:hint="eastAsia" w:ascii="Times New Roman" w:hAnsi="Times New Roman"/>
          <w:lang w:val="en-US" w:eastAsia="zh-CN"/>
        </w:rPr>
        <w:t xml:space="preserve">    非公党工委</w:t>
      </w:r>
      <w:r>
        <w:rPr>
          <w:rFonts w:ascii="Times New Roman" w:hAnsi="Times New Roman" w:eastAsia="仿宋_GB2312"/>
        </w:rPr>
        <w:t>结合实际制定“两类”组织覆盖提升工作方案，印制调查表册、入户公开信、调查摸底流程、基本信息采集表等范围名册，成立76个工作组，</w:t>
      </w:r>
      <w:r>
        <w:rPr>
          <w:rFonts w:hint="eastAsia" w:ascii="Times New Roman" w:hAnsi="Times New Roman" w:eastAsia="仿宋_GB2312"/>
          <w:sz w:val="32"/>
          <w:szCs w:val="32"/>
        </w:rPr>
        <w:t>组深入</w:t>
      </w:r>
      <w:r>
        <w:rPr>
          <w:rFonts w:hint="eastAsia" w:ascii="Times New Roman" w:hAnsi="Times New Roman"/>
          <w:sz w:val="32"/>
          <w:szCs w:val="32"/>
          <w:lang w:eastAsia="zh-CN"/>
        </w:rPr>
        <w:t>各街道各部门</w:t>
      </w:r>
      <w:r>
        <w:rPr>
          <w:rFonts w:hint="eastAsia" w:ascii="Times New Roman" w:hAnsi="Times New Roman" w:eastAsia="仿宋_GB2312"/>
          <w:sz w:val="32"/>
          <w:szCs w:val="32"/>
        </w:rPr>
        <w:t>及非公企业中进行调查。采用单独组建、联合组建等方式，</w:t>
      </w:r>
      <w:r>
        <w:rPr>
          <w:rFonts w:hint="eastAsia" w:ascii="Times New Roman" w:hAnsi="Times New Roman"/>
          <w:sz w:val="32"/>
          <w:szCs w:val="32"/>
          <w:lang w:eastAsia="zh-CN"/>
        </w:rPr>
        <w:t>深入开展“两类”组织覆盖提升行动。</w:t>
      </w:r>
    </w:p>
    <w:p>
      <w:pPr>
        <w:numPr>
          <w:ilvl w:val="0"/>
          <w:numId w:val="2"/>
        </w:numPr>
        <w:ind w:firstLine="632" w:firstLineChars="200"/>
        <w:outlineLvl w:val="0"/>
        <w:rPr>
          <w:rFonts w:hint="eastAsia" w:ascii="仿宋_GB2312"/>
          <w:szCs w:val="32"/>
        </w:rPr>
      </w:pPr>
      <w:r>
        <w:rPr>
          <w:rFonts w:hint="eastAsia" w:ascii="仿宋_GB2312"/>
          <w:szCs w:val="32"/>
          <w:lang w:eastAsia="zh-CN"/>
        </w:rPr>
        <w:t>项目绩效情况分析</w:t>
      </w:r>
    </w:p>
    <w:p>
      <w:pPr>
        <w:numPr>
          <w:ilvl w:val="0"/>
          <w:numId w:val="0"/>
        </w:numPr>
        <w:outlineLvl w:val="0"/>
        <w:rPr>
          <w:rFonts w:hint="eastAsia" w:ascii="仿宋_GB2312"/>
          <w:szCs w:val="32"/>
        </w:rPr>
      </w:pPr>
      <w:r>
        <w:rPr>
          <w:rFonts w:hint="eastAsia" w:ascii="Times New Roman" w:hAnsi="Times New Roman"/>
          <w:lang w:val="en-US" w:eastAsia="zh-CN"/>
        </w:rPr>
        <w:t xml:space="preserve">    通过严格执行预算，合理使用资金，2016年，呈贡区非公党建工作强化主业意识，增强政治引领功能；创新工作载体，增强服务发展功能；着力培育典型，增强示范带动功能。全年</w:t>
      </w:r>
      <w:r>
        <w:rPr>
          <w:rFonts w:ascii="Times New Roman" w:hAnsi="Times New Roman" w:eastAsia="仿宋_GB2312"/>
        </w:rPr>
        <w:t>组建非公有制经济组织党组织128个，覆盖864家，覆盖率达到92.6%；组建社会组织党组织55个，覆盖128家，覆盖率为98.46%，全面完成市级下达的目标任务。</w:t>
      </w:r>
    </w:p>
    <w:p>
      <w:pPr>
        <w:numPr>
          <w:ilvl w:val="0"/>
          <w:numId w:val="3"/>
        </w:numPr>
        <w:ind w:firstLine="632" w:firstLineChars="200"/>
        <w:rPr>
          <w:rFonts w:hint="eastAsia" w:ascii="仿宋_GB2312"/>
          <w:b/>
          <w:szCs w:val="32"/>
          <w:lang w:eastAsia="zh-CN"/>
        </w:rPr>
      </w:pPr>
      <w:r>
        <w:rPr>
          <w:rFonts w:hint="eastAsia" w:ascii="仿宋_GB2312"/>
          <w:b/>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ascii="仿宋_GB2312"/>
          <w:b/>
          <w:szCs w:val="32"/>
        </w:rPr>
      </w:pPr>
      <w:r>
        <w:rPr>
          <w:rFonts w:hint="eastAsia" w:ascii="仿宋_GB2312"/>
          <w:color w:val="auto"/>
          <w:szCs w:val="32"/>
          <w:lang w:val="en-US" w:eastAsia="zh-CN"/>
        </w:rPr>
        <w:t xml:space="preserve">  </w:t>
      </w:r>
      <w:r>
        <w:rPr>
          <w:rFonts w:hint="eastAsia" w:ascii="Times New Roman" w:hAnsi="Times New Roman" w:eastAsia="仿宋_GB2312"/>
          <w:lang w:val="en-US" w:eastAsia="zh-CN"/>
        </w:rPr>
        <w:t xml:space="preserve">  </w:t>
      </w:r>
      <w:r>
        <w:rPr>
          <w:rFonts w:hint="eastAsia" w:ascii="仿宋_GB2312"/>
          <w:bCs/>
          <w:szCs w:val="32"/>
          <w:lang w:val="en-US" w:eastAsia="zh-CN"/>
        </w:rPr>
        <w:t>区委组织部非公党建工作项目绩效目标设定清晰、细化、可衡量，资金投入及时、预算执行到位、资金使用经济高效，</w:t>
      </w:r>
      <w:r>
        <w:rPr>
          <w:rFonts w:hint="eastAsia" w:ascii="仿宋_GB2312" w:hAnsi="宋体" w:cs="仿宋_GB2312"/>
          <w:color w:val="auto"/>
          <w:kern w:val="0"/>
          <w:szCs w:val="32"/>
          <w:lang w:val="zh-CN"/>
        </w:rPr>
        <w:t>经济效益、社会效益、可持续影响效果明显，绩效管理制度、项目管理制度、</w:t>
      </w:r>
      <w:r>
        <w:rPr>
          <w:rFonts w:hint="eastAsia" w:ascii="仿宋_GB2312"/>
          <w:color w:val="auto"/>
          <w:szCs w:val="32"/>
        </w:rPr>
        <w:t>财务制度健全且执行情况良好</w:t>
      </w:r>
      <w:r>
        <w:rPr>
          <w:rFonts w:hint="eastAsia" w:ascii="仿宋_GB2312"/>
          <w:color w:val="auto"/>
          <w:szCs w:val="32"/>
          <w:lang w:eastAsia="zh-CN"/>
        </w:rPr>
        <w:t>，评价结果为优。</w:t>
      </w:r>
      <w:r>
        <w:rPr>
          <w:rFonts w:hint="eastAsia" w:ascii="Times New Roman" w:hAnsi="Times New Roman"/>
          <w:lang w:val="en-US" w:eastAsia="zh-CN"/>
        </w:rPr>
        <w:t>（自评分表附后）</w:t>
      </w:r>
    </w:p>
    <w:p>
      <w:pPr>
        <w:numPr>
          <w:ilvl w:val="0"/>
          <w:numId w:val="4"/>
        </w:numPr>
        <w:ind w:firstLine="632" w:firstLineChars="200"/>
        <w:rPr>
          <w:rFonts w:hint="eastAsia" w:ascii="仿宋_GB2312"/>
          <w:b/>
          <w:szCs w:val="32"/>
        </w:rPr>
      </w:pPr>
      <w:r>
        <w:rPr>
          <w:rFonts w:hint="eastAsia" w:ascii="仿宋_GB2312"/>
          <w:b/>
          <w:szCs w:val="32"/>
        </w:rPr>
        <w:t>绩效评价结果应用建议</w:t>
      </w:r>
    </w:p>
    <w:p>
      <w:pPr>
        <w:keepNext w:val="0"/>
        <w:keepLines w:val="0"/>
        <w:pageBreakBefore w:val="0"/>
        <w:kinsoku/>
        <w:wordWrap/>
        <w:overflowPunct/>
        <w:autoSpaceDE/>
        <w:autoSpaceDN/>
        <w:bidi w:val="0"/>
        <w:adjustRightInd w:val="0"/>
        <w:snapToGrid w:val="0"/>
        <w:spacing w:line="580" w:lineRule="exact"/>
        <w:ind w:left="0" w:leftChars="0" w:right="0" w:rightChars="0" w:firstLine="632" w:firstLineChars="200"/>
        <w:textAlignment w:val="auto"/>
        <w:outlineLvl w:val="9"/>
        <w:rPr>
          <w:rFonts w:hint="eastAsia" w:ascii="仿宋_GB2312"/>
          <w:bCs/>
          <w:szCs w:val="32"/>
          <w:lang w:val="en-US" w:eastAsia="zh-CN"/>
        </w:rPr>
      </w:pPr>
      <w:r>
        <w:rPr>
          <w:rFonts w:hint="eastAsia" w:ascii="仿宋_GB2312"/>
          <w:bCs/>
          <w:szCs w:val="32"/>
          <w:lang w:val="en-US" w:eastAsia="zh-CN"/>
        </w:rPr>
        <w:t>下步工作中，区委组织部将进一步建立健全项目管理制度、财务管理制度、资产管理制度和内部控制制度，制定实用可行的绩效跟踪管理措施，通过强化绩效评价结果应用，强化支出责任，提高财政资金使用效益。</w:t>
      </w:r>
    </w:p>
    <w:p>
      <w:pPr>
        <w:keepNext w:val="0"/>
        <w:keepLines w:val="0"/>
        <w:pageBreakBefore w:val="0"/>
        <w:kinsoku/>
        <w:wordWrap/>
        <w:overflowPunct/>
        <w:autoSpaceDE/>
        <w:autoSpaceDN/>
        <w:bidi w:val="0"/>
        <w:adjustRightInd w:val="0"/>
        <w:snapToGrid w:val="0"/>
        <w:spacing w:line="580" w:lineRule="exact"/>
        <w:ind w:left="0" w:leftChars="0" w:right="0" w:rightChars="0" w:firstLine="632" w:firstLineChars="200"/>
        <w:textAlignment w:val="auto"/>
        <w:outlineLvl w:val="9"/>
        <w:rPr>
          <w:rFonts w:hint="eastAsia" w:ascii="仿宋_GB2312"/>
          <w:bCs/>
          <w:szCs w:val="32"/>
          <w:lang w:val="en-US" w:eastAsia="zh-CN"/>
        </w:rPr>
      </w:pPr>
    </w:p>
    <w:p>
      <w:pPr>
        <w:keepNext w:val="0"/>
        <w:keepLines w:val="0"/>
        <w:pageBreakBefore w:val="0"/>
        <w:kinsoku/>
        <w:wordWrap/>
        <w:overflowPunct/>
        <w:autoSpaceDE/>
        <w:autoSpaceDN/>
        <w:bidi w:val="0"/>
        <w:adjustRightInd w:val="0"/>
        <w:snapToGrid w:val="0"/>
        <w:spacing w:line="580" w:lineRule="exact"/>
        <w:ind w:left="0" w:leftChars="0" w:right="0" w:rightChars="0" w:firstLine="632" w:firstLineChars="200"/>
        <w:textAlignment w:val="auto"/>
        <w:outlineLvl w:val="9"/>
        <w:rPr>
          <w:rFonts w:hint="eastAsia" w:ascii="仿宋_GB2312"/>
          <w:bCs/>
          <w:szCs w:val="32"/>
          <w:lang w:val="en-US" w:eastAsia="zh-CN"/>
        </w:rPr>
      </w:pPr>
    </w:p>
    <w:p>
      <w:pPr>
        <w:keepNext w:val="0"/>
        <w:keepLines w:val="0"/>
        <w:pageBreakBefore w:val="0"/>
        <w:kinsoku/>
        <w:wordWrap/>
        <w:overflowPunct/>
        <w:autoSpaceDE/>
        <w:autoSpaceDN/>
        <w:bidi w:val="0"/>
        <w:adjustRightInd w:val="0"/>
        <w:snapToGrid w:val="0"/>
        <w:spacing w:line="580" w:lineRule="exact"/>
        <w:ind w:left="0" w:leftChars="0" w:right="0" w:rightChars="0" w:firstLine="632" w:firstLineChars="200"/>
        <w:textAlignment w:val="auto"/>
        <w:outlineLvl w:val="9"/>
        <w:rPr>
          <w:rFonts w:hint="eastAsia" w:ascii="仿宋_GB2312"/>
          <w:bCs/>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righ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中共昆明市呈贡区委组织部</w:t>
      </w:r>
    </w:p>
    <w:p>
      <w:pPr>
        <w:keepNext w:val="0"/>
        <w:keepLines w:val="0"/>
        <w:pageBreakBefore w:val="0"/>
        <w:kinsoku/>
        <w:wordWrap w:val="0"/>
        <w:overflowPunct/>
        <w:autoSpaceDE/>
        <w:autoSpaceDN/>
        <w:bidi w:val="0"/>
        <w:adjustRightInd w:val="0"/>
        <w:snapToGrid w:val="0"/>
        <w:spacing w:line="580" w:lineRule="exact"/>
        <w:ind w:left="0" w:leftChars="0" w:right="0" w:rightChars="0" w:firstLine="632" w:firstLineChars="200"/>
        <w:jc w:val="right"/>
        <w:textAlignment w:val="auto"/>
        <w:outlineLvl w:val="9"/>
        <w:rPr>
          <w:rFonts w:hint="eastAsia" w:ascii="仿宋_GB2312"/>
          <w:bCs/>
          <w:szCs w:val="32"/>
          <w:lang w:val="en-US" w:eastAsia="zh-CN"/>
        </w:rPr>
      </w:pPr>
      <w:r>
        <w:rPr>
          <w:rFonts w:hint="eastAsia" w:ascii="仿宋_GB2312" w:hAnsi="仿宋_GB2312" w:cs="仿宋_GB2312"/>
          <w:szCs w:val="32"/>
          <w:lang w:val="en-US" w:eastAsia="zh-CN"/>
        </w:rPr>
        <w:t>2017年4月19日</w:t>
      </w:r>
      <w:bookmarkStart w:id="0" w:name="_GoBack"/>
      <w:bookmarkEnd w:id="0"/>
      <w:r>
        <w:rPr>
          <w:rFonts w:hint="eastAsia" w:ascii="仿宋_GB2312" w:hAnsi="仿宋_GB2312" w:cs="仿宋_GB231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美黑简体">
    <w:panose1 w:val="02010601030101010101"/>
    <w:charset w:val="86"/>
    <w:family w:val="auto"/>
    <w:pitch w:val="default"/>
    <w:sig w:usb0="00000001" w:usb1="080E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10" w:usb3="00000000" w:csb0="00040000" w:csb1="00000000"/>
  </w:font>
  <w:font w:name="MicrosoftYaHei">
    <w:altName w:val="宋体"/>
    <w:panose1 w:val="00000000000000000000"/>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libri Light">
    <w:altName w:val="Times New Roman"/>
    <w:panose1 w:val="00000000000000000000"/>
    <w:charset w:val="00"/>
    <w:family w:val="roman"/>
    <w:pitch w:val="default"/>
    <w:sig w:usb0="0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71E7E"/>
    <w:multiLevelType w:val="singleLevel"/>
    <w:tmpl w:val="58F71E7E"/>
    <w:lvl w:ilvl="0" w:tentative="0">
      <w:start w:val="2"/>
      <w:numFmt w:val="chineseCounting"/>
      <w:suff w:val="nothing"/>
      <w:lvlText w:val="%1、"/>
      <w:lvlJc w:val="left"/>
    </w:lvl>
  </w:abstractNum>
  <w:abstractNum w:abstractNumId="1">
    <w:nsid w:val="58F7249C"/>
    <w:multiLevelType w:val="singleLevel"/>
    <w:tmpl w:val="58F7249C"/>
    <w:lvl w:ilvl="0" w:tentative="0">
      <w:start w:val="2"/>
      <w:numFmt w:val="chineseCounting"/>
      <w:suff w:val="nothing"/>
      <w:lvlText w:val="（%1）"/>
      <w:lvlJc w:val="left"/>
    </w:lvl>
  </w:abstractNum>
  <w:abstractNum w:abstractNumId="2">
    <w:nsid w:val="58F72857"/>
    <w:multiLevelType w:val="singleLevel"/>
    <w:tmpl w:val="58F72857"/>
    <w:lvl w:ilvl="0" w:tentative="0">
      <w:start w:val="5"/>
      <w:numFmt w:val="chineseCounting"/>
      <w:suff w:val="nothing"/>
      <w:lvlText w:val="%1、"/>
      <w:lvlJc w:val="left"/>
    </w:lvl>
  </w:abstractNum>
  <w:abstractNum w:abstractNumId="3">
    <w:nsid w:val="58F72E34"/>
    <w:multiLevelType w:val="singleLevel"/>
    <w:tmpl w:val="58F72E34"/>
    <w:lvl w:ilvl="0" w:tentative="0">
      <w:start w:val="6"/>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D1148"/>
    <w:rsid w:val="00371EA3"/>
    <w:rsid w:val="0048011C"/>
    <w:rsid w:val="01D07BDD"/>
    <w:rsid w:val="04AA1688"/>
    <w:rsid w:val="051C34AB"/>
    <w:rsid w:val="056E14B1"/>
    <w:rsid w:val="05B555B1"/>
    <w:rsid w:val="080E1E72"/>
    <w:rsid w:val="0AA733A9"/>
    <w:rsid w:val="0C9C4401"/>
    <w:rsid w:val="0ECB6DBF"/>
    <w:rsid w:val="0FB50954"/>
    <w:rsid w:val="10390CF3"/>
    <w:rsid w:val="106B42D7"/>
    <w:rsid w:val="1AEF4D25"/>
    <w:rsid w:val="1B246340"/>
    <w:rsid w:val="20630FFF"/>
    <w:rsid w:val="2145485C"/>
    <w:rsid w:val="270063E4"/>
    <w:rsid w:val="29695915"/>
    <w:rsid w:val="2B2B5CDB"/>
    <w:rsid w:val="2B650CD5"/>
    <w:rsid w:val="2D8C3542"/>
    <w:rsid w:val="2ED44370"/>
    <w:rsid w:val="34401154"/>
    <w:rsid w:val="358D6676"/>
    <w:rsid w:val="35A74FF1"/>
    <w:rsid w:val="35B36821"/>
    <w:rsid w:val="37835DEB"/>
    <w:rsid w:val="37CC5E6D"/>
    <w:rsid w:val="3B522068"/>
    <w:rsid w:val="3EE9656E"/>
    <w:rsid w:val="3F3920B4"/>
    <w:rsid w:val="3F442E69"/>
    <w:rsid w:val="3FF53885"/>
    <w:rsid w:val="407B4DA7"/>
    <w:rsid w:val="418659FB"/>
    <w:rsid w:val="42674375"/>
    <w:rsid w:val="42991B25"/>
    <w:rsid w:val="456F7394"/>
    <w:rsid w:val="48782888"/>
    <w:rsid w:val="487B314E"/>
    <w:rsid w:val="4A61329A"/>
    <w:rsid w:val="4C382410"/>
    <w:rsid w:val="4C642D6B"/>
    <w:rsid w:val="52177E71"/>
    <w:rsid w:val="54DB1944"/>
    <w:rsid w:val="554409B8"/>
    <w:rsid w:val="564F3F85"/>
    <w:rsid w:val="5CC629C3"/>
    <w:rsid w:val="5F596A7F"/>
    <w:rsid w:val="5F7D04C8"/>
    <w:rsid w:val="60AA71B1"/>
    <w:rsid w:val="61D25819"/>
    <w:rsid w:val="637C4FA5"/>
    <w:rsid w:val="63C4597E"/>
    <w:rsid w:val="654D75D5"/>
    <w:rsid w:val="65A72C43"/>
    <w:rsid w:val="66B447D7"/>
    <w:rsid w:val="67ED73A0"/>
    <w:rsid w:val="69A6094F"/>
    <w:rsid w:val="6A0D5500"/>
    <w:rsid w:val="6EED3D96"/>
    <w:rsid w:val="6F3364F2"/>
    <w:rsid w:val="70865A86"/>
    <w:rsid w:val="720A0149"/>
    <w:rsid w:val="73680778"/>
    <w:rsid w:val="74331366"/>
    <w:rsid w:val="74C272A9"/>
    <w:rsid w:val="774D1148"/>
    <w:rsid w:val="78F50B68"/>
    <w:rsid w:val="790924D9"/>
    <w:rsid w:val="7A2C61B7"/>
    <w:rsid w:val="7A444623"/>
    <w:rsid w:val="7AAF132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2017-04-15T07:42:00Z</dcterms:created>
  <dc:creator>Administrator</dc:creator>
  <cp:lastModifiedBy>Administrator</cp:lastModifiedBy>
  <dcterms:modified xsi:type="dcterms:W3CDTF">2017-04-19T12:29:42Z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