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8847" w:type="dxa"/>
        <w:tblInd w:w="2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600"/>
        <w:gridCol w:w="8"/>
        <w:gridCol w:w="8"/>
        <w:gridCol w:w="712"/>
        <w:gridCol w:w="16"/>
        <w:gridCol w:w="997"/>
        <w:gridCol w:w="10"/>
        <w:gridCol w:w="624"/>
        <w:gridCol w:w="18"/>
        <w:gridCol w:w="2757"/>
        <w:gridCol w:w="8"/>
        <w:gridCol w:w="30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99" w:hRule="atLeast"/>
          <w:tblHeader/>
        </w:trPr>
        <w:tc>
          <w:tcPr>
            <w:tcW w:w="8847" w:type="dxa"/>
            <w:gridSpan w:val="12"/>
            <w:tcBorders>
              <w:top w:val="nil"/>
              <w:left w:val="nil"/>
              <w:right w:val="nil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方正小标宋简体" w:hAnsi="方正小标宋简体" w:eastAsia="方正小标宋简体" w:cs="方正小标宋简体"/>
                <w:kern w:val="0"/>
                <w:sz w:val="36"/>
                <w:szCs w:val="36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kern w:val="0"/>
                <w:sz w:val="36"/>
                <w:szCs w:val="36"/>
                <w:lang w:eastAsia="zh-CN"/>
              </w:rPr>
              <w:t>区委组织部</w:t>
            </w:r>
            <w:r>
              <w:rPr>
                <w:rFonts w:hint="eastAsia" w:ascii="方正小标宋简体" w:hAnsi="方正小标宋简体" w:eastAsia="方正小标宋简体" w:cs="方正小标宋简体"/>
                <w:kern w:val="0"/>
                <w:sz w:val="36"/>
                <w:szCs w:val="36"/>
              </w:rPr>
              <w:t>2016年项目支出绩效自评指标评分表</w:t>
            </w:r>
          </w:p>
          <w:p>
            <w:pPr>
              <w:spacing w:line="600" w:lineRule="exact"/>
              <w:jc w:val="center"/>
              <w:rPr>
                <w:rFonts w:hint="eastAsia" w:ascii="黑体" w:hAnsi="宋体" w:eastAsia="黑体" w:cs="宋体"/>
                <w:kern w:val="0"/>
                <w:sz w:val="36"/>
                <w:szCs w:val="36"/>
                <w:lang w:eastAsia="zh-CN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sz w:val="36"/>
                <w:szCs w:val="36"/>
              </w:rPr>
              <w:t>（村改居社区党建工作经费</w:t>
            </w:r>
            <w:bookmarkStart w:id="0" w:name="_GoBack"/>
            <w:bookmarkEnd w:id="0"/>
            <w:r>
              <w:rPr>
                <w:rFonts w:hint="eastAsia" w:ascii="方正小标宋简体" w:hAnsi="方正小标宋简体" w:eastAsia="方正小标宋简体" w:cs="方正小标宋简体"/>
                <w:sz w:val="36"/>
                <w:szCs w:val="36"/>
              </w:rPr>
              <w:t>）</w:t>
            </w:r>
          </w:p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b/>
                <w:kern w:val="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7" w:hRule="atLeast"/>
          <w:tblHeader/>
        </w:trPr>
        <w:tc>
          <w:tcPr>
            <w:tcW w:w="616" w:type="dxa"/>
            <w:gridSpan w:val="3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b/>
                <w:kern w:val="0"/>
                <w:sz w:val="20"/>
              </w:rPr>
            </w:pPr>
            <w:r>
              <w:rPr>
                <w:rFonts w:hint="eastAsia" w:ascii="仿宋_GB2312" w:hAnsi="宋体" w:cs="宋体"/>
                <w:b/>
                <w:kern w:val="0"/>
                <w:sz w:val="20"/>
              </w:rPr>
              <w:t>一级指标</w:t>
            </w:r>
          </w:p>
        </w:tc>
        <w:tc>
          <w:tcPr>
            <w:tcW w:w="728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b/>
                <w:kern w:val="0"/>
                <w:sz w:val="20"/>
              </w:rPr>
            </w:pPr>
            <w:r>
              <w:rPr>
                <w:rFonts w:hint="eastAsia" w:ascii="仿宋_GB2312" w:hAnsi="宋体" w:cs="宋体"/>
                <w:b/>
                <w:kern w:val="0"/>
                <w:sz w:val="20"/>
              </w:rPr>
              <w:t>二级指标</w:t>
            </w:r>
          </w:p>
        </w:tc>
        <w:tc>
          <w:tcPr>
            <w:tcW w:w="1007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b/>
                <w:kern w:val="0"/>
                <w:sz w:val="20"/>
              </w:rPr>
            </w:pPr>
            <w:r>
              <w:rPr>
                <w:rFonts w:hint="eastAsia" w:ascii="仿宋_GB2312" w:hAnsi="宋体" w:cs="宋体"/>
                <w:b/>
                <w:kern w:val="0"/>
                <w:sz w:val="20"/>
              </w:rPr>
              <w:t>三级</w:t>
            </w:r>
          </w:p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b/>
                <w:kern w:val="0"/>
                <w:sz w:val="20"/>
              </w:rPr>
            </w:pPr>
            <w:r>
              <w:rPr>
                <w:rFonts w:hint="eastAsia" w:ascii="仿宋_GB2312" w:hAnsi="宋体" w:cs="宋体"/>
                <w:b/>
                <w:kern w:val="0"/>
                <w:sz w:val="20"/>
              </w:rPr>
              <w:t>指标</w:t>
            </w:r>
          </w:p>
        </w:tc>
        <w:tc>
          <w:tcPr>
            <w:tcW w:w="642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b/>
                <w:kern w:val="0"/>
                <w:sz w:val="20"/>
              </w:rPr>
            </w:pPr>
            <w:r>
              <w:rPr>
                <w:rFonts w:hint="eastAsia" w:ascii="仿宋_GB2312" w:hAnsi="宋体" w:cs="宋体"/>
                <w:b/>
                <w:kern w:val="0"/>
                <w:sz w:val="20"/>
              </w:rPr>
              <w:t>自评分</w:t>
            </w:r>
          </w:p>
        </w:tc>
        <w:tc>
          <w:tcPr>
            <w:tcW w:w="2757" w:type="dxa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b/>
                <w:kern w:val="0"/>
                <w:sz w:val="20"/>
              </w:rPr>
            </w:pPr>
            <w:r>
              <w:rPr>
                <w:rFonts w:hint="eastAsia" w:ascii="仿宋_GB2312" w:hAnsi="宋体" w:cs="宋体"/>
                <w:b/>
                <w:kern w:val="0"/>
                <w:sz w:val="20"/>
              </w:rPr>
              <w:t>具体指标</w:t>
            </w:r>
          </w:p>
        </w:tc>
        <w:tc>
          <w:tcPr>
            <w:tcW w:w="3097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b/>
                <w:kern w:val="0"/>
                <w:sz w:val="20"/>
              </w:rPr>
            </w:pPr>
            <w:r>
              <w:rPr>
                <w:rFonts w:hint="eastAsia" w:ascii="仿宋_GB2312" w:hAnsi="宋体" w:cs="宋体"/>
                <w:b/>
                <w:kern w:val="0"/>
                <w:sz w:val="20"/>
              </w:rPr>
              <w:t>评价标准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7" w:hRule="atLeast"/>
        </w:trPr>
        <w:tc>
          <w:tcPr>
            <w:tcW w:w="608" w:type="dxa"/>
            <w:gridSpan w:val="2"/>
            <w:vMerge w:val="restart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项目</w:t>
            </w:r>
          </w:p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决策（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20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  <w:tc>
          <w:tcPr>
            <w:tcW w:w="736" w:type="dxa"/>
            <w:gridSpan w:val="3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项目</w:t>
            </w:r>
          </w:p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目标</w:t>
            </w:r>
          </w:p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/>
                <w:kern w:val="0"/>
                <w:sz w:val="21"/>
                <w:szCs w:val="21"/>
              </w:rPr>
              <w:t>(4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)</w:t>
            </w:r>
          </w:p>
        </w:tc>
        <w:tc>
          <w:tcPr>
            <w:tcW w:w="1007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目标内容（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4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  <w:tc>
          <w:tcPr>
            <w:tcW w:w="642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2765" w:type="dxa"/>
            <w:gridSpan w:val="2"/>
            <w:vAlign w:val="center"/>
          </w:tcPr>
          <w:p>
            <w:pPr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设立了项目绩效目标；目标明确；目标细化；目标量化</w:t>
            </w:r>
          </w:p>
        </w:tc>
        <w:tc>
          <w:tcPr>
            <w:tcW w:w="3089" w:type="dxa"/>
            <w:vAlign w:val="center"/>
          </w:tcPr>
          <w:p>
            <w:pPr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设有目标（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 xml:space="preserve">   </w:t>
            </w:r>
          </w:p>
          <w:p>
            <w:pPr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目标明确（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 xml:space="preserve">   </w:t>
            </w:r>
          </w:p>
          <w:p>
            <w:pPr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目标细化（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 xml:space="preserve">    </w:t>
            </w:r>
          </w:p>
          <w:p>
            <w:pPr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目标量化（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7" w:hRule="atLeast"/>
        </w:trPr>
        <w:tc>
          <w:tcPr>
            <w:tcW w:w="608" w:type="dxa"/>
            <w:gridSpan w:val="2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736" w:type="dxa"/>
            <w:gridSpan w:val="3"/>
            <w:vMerge w:val="restart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决策</w:t>
            </w:r>
          </w:p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过程</w:t>
            </w:r>
          </w:p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8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  <w:tc>
          <w:tcPr>
            <w:tcW w:w="1007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决策依据（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4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  <w:tc>
          <w:tcPr>
            <w:tcW w:w="642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2765" w:type="dxa"/>
            <w:gridSpan w:val="2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有关法律法规的明确规定；某一经济社会发展规划；某部门年度工作计划；某一实际问题和需求</w:t>
            </w:r>
          </w:p>
        </w:tc>
        <w:tc>
          <w:tcPr>
            <w:tcW w:w="3089" w:type="dxa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符合法律法规（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分）符合经济社会发展规划（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部门年度工作计划（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针对某一实际问题和需求（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37" w:hRule="atLeast"/>
        </w:trPr>
        <w:tc>
          <w:tcPr>
            <w:tcW w:w="608" w:type="dxa"/>
            <w:gridSpan w:val="2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736" w:type="dxa"/>
            <w:gridSpan w:val="3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1007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决策程序（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4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  <w:tc>
          <w:tcPr>
            <w:tcW w:w="642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2765" w:type="dxa"/>
            <w:gridSpan w:val="2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项目符合申报条件；申报、批复程序符合相关管理办法；项目调整履行了相应手续</w:t>
            </w:r>
          </w:p>
        </w:tc>
        <w:tc>
          <w:tcPr>
            <w:tcW w:w="3089" w:type="dxa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符合申报条件（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2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分）项目申报、批复程序符合管理办法（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项目调整履行了相应手续（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7" w:hRule="atLeast"/>
        </w:trPr>
        <w:tc>
          <w:tcPr>
            <w:tcW w:w="608" w:type="dxa"/>
            <w:gridSpan w:val="2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736" w:type="dxa"/>
            <w:gridSpan w:val="3"/>
            <w:vMerge w:val="restart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资金</w:t>
            </w:r>
          </w:p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分配</w:t>
            </w:r>
          </w:p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8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  <w:tc>
          <w:tcPr>
            <w:tcW w:w="1007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分配办法（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3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  <w:tc>
          <w:tcPr>
            <w:tcW w:w="642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2765" w:type="dxa"/>
            <w:gridSpan w:val="2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根据需要制定的相关资金管理办法；管理办法中有明确资金分配办法；资金分配因素全面、合理</w:t>
            </w:r>
          </w:p>
        </w:tc>
        <w:tc>
          <w:tcPr>
            <w:tcW w:w="3089" w:type="dxa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有相应的资金管理办法（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办法健全、规范（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因素全面合理（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7" w:hRule="atLeast"/>
        </w:trPr>
        <w:tc>
          <w:tcPr>
            <w:tcW w:w="608" w:type="dxa"/>
            <w:gridSpan w:val="2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736" w:type="dxa"/>
            <w:gridSpan w:val="3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1007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分配结果（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5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  <w:tc>
          <w:tcPr>
            <w:tcW w:w="642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2765" w:type="dxa"/>
            <w:gridSpan w:val="2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资金分配符合相关管理办法；分配结果公平合理</w:t>
            </w:r>
          </w:p>
        </w:tc>
        <w:tc>
          <w:tcPr>
            <w:tcW w:w="3089" w:type="dxa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符合分配办法（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2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分配公平合理（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3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7" w:hRule="atLeast"/>
        </w:trPr>
        <w:tc>
          <w:tcPr>
            <w:tcW w:w="608" w:type="dxa"/>
            <w:gridSpan w:val="2"/>
            <w:vMerge w:val="restart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项目</w:t>
            </w:r>
          </w:p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管理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 xml:space="preserve"> (25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  <w:tc>
          <w:tcPr>
            <w:tcW w:w="736" w:type="dxa"/>
            <w:gridSpan w:val="3"/>
            <w:vMerge w:val="restart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资金</w:t>
            </w:r>
          </w:p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到位</w:t>
            </w:r>
          </w:p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5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  <w:tc>
          <w:tcPr>
            <w:tcW w:w="1007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到位率</w:t>
            </w:r>
          </w:p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3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  <w:tc>
          <w:tcPr>
            <w:tcW w:w="642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2765" w:type="dxa"/>
            <w:gridSpan w:val="2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实际到位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/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计划到位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*100%</w:t>
            </w:r>
          </w:p>
        </w:tc>
        <w:tc>
          <w:tcPr>
            <w:tcW w:w="3089" w:type="dxa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根据项目资金的实际到位率计算得分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7" w:hRule="atLeast"/>
        </w:trPr>
        <w:tc>
          <w:tcPr>
            <w:tcW w:w="608" w:type="dxa"/>
            <w:gridSpan w:val="2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736" w:type="dxa"/>
            <w:gridSpan w:val="3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1007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到位时效（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2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  <w:tc>
          <w:tcPr>
            <w:tcW w:w="642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2765" w:type="dxa"/>
            <w:gridSpan w:val="2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资金及时到位；若未及时到位，是否影响项目进度</w:t>
            </w:r>
          </w:p>
        </w:tc>
        <w:tc>
          <w:tcPr>
            <w:tcW w:w="3089" w:type="dxa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到位及时（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2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不及时但未影响项目进度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 xml:space="preserve"> 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不及时并影响项目进度（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0.5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7" w:hRule="atLeast"/>
        </w:trPr>
        <w:tc>
          <w:tcPr>
            <w:tcW w:w="608" w:type="dxa"/>
            <w:gridSpan w:val="2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736" w:type="dxa"/>
            <w:gridSpan w:val="3"/>
            <w:vMerge w:val="restart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资金</w:t>
            </w:r>
          </w:p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管理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(10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  <w:tc>
          <w:tcPr>
            <w:tcW w:w="1007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资金使用（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7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  <w:tc>
          <w:tcPr>
            <w:tcW w:w="642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2765" w:type="dxa"/>
            <w:gridSpan w:val="2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支出依据合规，无虚列项目支出情况；无截留挤占挪用情况；无超标准开支情况；无超预算情况</w:t>
            </w:r>
          </w:p>
        </w:tc>
        <w:tc>
          <w:tcPr>
            <w:tcW w:w="3089" w:type="dxa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虚列套取扣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4-7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 xml:space="preserve"> </w:t>
            </w:r>
          </w:p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依据不合规扣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2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</w:t>
            </w:r>
          </w:p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截留、挤占、挪用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 xml:space="preserve">    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扣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3-6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</w:t>
            </w:r>
          </w:p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超标准开支扣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2-5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</w:t>
            </w:r>
          </w:p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超预算扣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2-5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7" w:hRule="atLeast"/>
        </w:trPr>
        <w:tc>
          <w:tcPr>
            <w:tcW w:w="608" w:type="dxa"/>
            <w:gridSpan w:val="2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736" w:type="dxa"/>
            <w:gridSpan w:val="3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1007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财务管理（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3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  <w:tc>
          <w:tcPr>
            <w:tcW w:w="642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2765" w:type="dxa"/>
            <w:gridSpan w:val="2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资金管理、费用支出等制度健全；制度执行严格；会计核算规范</w:t>
            </w:r>
          </w:p>
        </w:tc>
        <w:tc>
          <w:tcPr>
            <w:tcW w:w="3089" w:type="dxa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财务制度健全（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分）严格执行制度（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分）会计核算规范（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7" w:hRule="atLeast"/>
        </w:trPr>
        <w:tc>
          <w:tcPr>
            <w:tcW w:w="608" w:type="dxa"/>
            <w:gridSpan w:val="2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736" w:type="dxa"/>
            <w:gridSpan w:val="3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组织</w:t>
            </w:r>
          </w:p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实施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(10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  <w:tc>
          <w:tcPr>
            <w:tcW w:w="1007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组织机构（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  <w:lang w:val="en-US" w:eastAsia="zh-CN"/>
              </w:rPr>
              <w:t>0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  <w:tc>
          <w:tcPr>
            <w:tcW w:w="642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2765" w:type="dxa"/>
            <w:gridSpan w:val="2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机构健全、分工明确</w:t>
            </w:r>
          </w:p>
        </w:tc>
        <w:tc>
          <w:tcPr>
            <w:tcW w:w="3089" w:type="dxa"/>
            <w:vAlign w:val="center"/>
          </w:tcPr>
          <w:p>
            <w:pPr>
              <w:widowControl/>
              <w:spacing w:line="260" w:lineRule="exact"/>
              <w:ind w:left="196" w:hanging="196" w:hangingChars="100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机构健全、分工明确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 xml:space="preserve">  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79" w:hRule="atLeast"/>
        </w:trPr>
        <w:tc>
          <w:tcPr>
            <w:tcW w:w="608" w:type="dxa"/>
            <w:gridSpan w:val="2"/>
            <w:vMerge w:val="restart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项目</w:t>
            </w:r>
          </w:p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管理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 xml:space="preserve"> (25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  <w:tc>
          <w:tcPr>
            <w:tcW w:w="736" w:type="dxa"/>
            <w:gridSpan w:val="3"/>
            <w:vMerge w:val="restart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组织</w:t>
            </w:r>
          </w:p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实施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(10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  <w:tc>
          <w:tcPr>
            <w:tcW w:w="1007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项目实施（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3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  <w:tc>
          <w:tcPr>
            <w:tcW w:w="642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2765" w:type="dxa"/>
            <w:gridSpan w:val="2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项目按计划开工；按计划进度开展；按计划完工</w:t>
            </w:r>
          </w:p>
        </w:tc>
        <w:tc>
          <w:tcPr>
            <w:tcW w:w="3089" w:type="dxa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按计划开工（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 xml:space="preserve">   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按计划开展（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 xml:space="preserve">   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按计划完工（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79" w:hRule="atLeast"/>
        </w:trPr>
        <w:tc>
          <w:tcPr>
            <w:tcW w:w="608" w:type="dxa"/>
            <w:gridSpan w:val="2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736" w:type="dxa"/>
            <w:gridSpan w:val="3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1007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管理制度（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6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  <w:tc>
          <w:tcPr>
            <w:tcW w:w="642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2765" w:type="dxa"/>
            <w:gridSpan w:val="2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项目管理制度健全；严格执行相关管理制度</w:t>
            </w:r>
          </w:p>
        </w:tc>
        <w:tc>
          <w:tcPr>
            <w:tcW w:w="3089" w:type="dxa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管理制度健全（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2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制度执行严格（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4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79" w:hRule="atLeast"/>
        </w:trPr>
        <w:tc>
          <w:tcPr>
            <w:tcW w:w="608" w:type="dxa"/>
            <w:gridSpan w:val="2"/>
            <w:vMerge w:val="restart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项目</w:t>
            </w:r>
          </w:p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绩效（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55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  <w:tc>
          <w:tcPr>
            <w:tcW w:w="736" w:type="dxa"/>
            <w:gridSpan w:val="3"/>
            <w:vMerge w:val="restart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项目</w:t>
            </w:r>
          </w:p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产出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(15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  <w:tc>
          <w:tcPr>
            <w:tcW w:w="1007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产出数量（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5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  <w:tc>
          <w:tcPr>
            <w:tcW w:w="642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2765" w:type="dxa"/>
            <w:gridSpan w:val="2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根据该项目实际，标识具体明确的产出数量</w:t>
            </w:r>
          </w:p>
        </w:tc>
        <w:tc>
          <w:tcPr>
            <w:tcW w:w="3089" w:type="dxa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对照绩效目标，按实际产出数量率计算得分（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5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79" w:hRule="atLeast"/>
        </w:trPr>
        <w:tc>
          <w:tcPr>
            <w:tcW w:w="608" w:type="dxa"/>
            <w:gridSpan w:val="2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736" w:type="dxa"/>
            <w:gridSpan w:val="3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1007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产出质量（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4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  <w:tc>
          <w:tcPr>
            <w:tcW w:w="642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2765" w:type="dxa"/>
            <w:gridSpan w:val="2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根据该项目实际，标识具体明确的产出质量</w:t>
            </w:r>
          </w:p>
        </w:tc>
        <w:tc>
          <w:tcPr>
            <w:tcW w:w="3089" w:type="dxa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对照绩效目标，按实际产出质量率计算得分（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4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79" w:hRule="atLeast"/>
        </w:trPr>
        <w:tc>
          <w:tcPr>
            <w:tcW w:w="608" w:type="dxa"/>
            <w:gridSpan w:val="2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736" w:type="dxa"/>
            <w:gridSpan w:val="3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1007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产出时效（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3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  <w:tc>
          <w:tcPr>
            <w:tcW w:w="642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2765" w:type="dxa"/>
            <w:gridSpan w:val="2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根据该项目实际，标识具体明确的产出时效</w:t>
            </w:r>
          </w:p>
        </w:tc>
        <w:tc>
          <w:tcPr>
            <w:tcW w:w="3089" w:type="dxa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对照绩效目标，按实际产出时效率计算得分（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3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79" w:hRule="atLeast"/>
        </w:trPr>
        <w:tc>
          <w:tcPr>
            <w:tcW w:w="608" w:type="dxa"/>
            <w:gridSpan w:val="2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736" w:type="dxa"/>
            <w:gridSpan w:val="3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1007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产出成本（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3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  <w:tc>
          <w:tcPr>
            <w:tcW w:w="642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2765" w:type="dxa"/>
            <w:gridSpan w:val="2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根据该项目实际，标识具体明确的产出成本</w:t>
            </w:r>
          </w:p>
        </w:tc>
        <w:tc>
          <w:tcPr>
            <w:tcW w:w="3089" w:type="dxa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对照绩效目标，按实际产出成本率计算得分（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3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79" w:hRule="atLeast"/>
        </w:trPr>
        <w:tc>
          <w:tcPr>
            <w:tcW w:w="608" w:type="dxa"/>
            <w:gridSpan w:val="2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736" w:type="dxa"/>
            <w:gridSpan w:val="3"/>
            <w:vMerge w:val="restart"/>
            <w:vAlign w:val="center"/>
          </w:tcPr>
          <w:p>
            <w:pPr>
              <w:widowControl/>
              <w:spacing w:line="260" w:lineRule="exac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项目</w:t>
            </w:r>
          </w:p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效果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(40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  <w:tc>
          <w:tcPr>
            <w:tcW w:w="1007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经济效益（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8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  <w:tc>
          <w:tcPr>
            <w:tcW w:w="642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2765" w:type="dxa"/>
            <w:gridSpan w:val="2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根据项目实际，标识所产生的直接或间接的经济效益</w:t>
            </w:r>
          </w:p>
        </w:tc>
        <w:tc>
          <w:tcPr>
            <w:tcW w:w="3089" w:type="dxa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对照绩效目标，按经济效益实现程度计算得分（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8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79" w:hRule="atLeast"/>
        </w:trPr>
        <w:tc>
          <w:tcPr>
            <w:tcW w:w="608" w:type="dxa"/>
            <w:gridSpan w:val="2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736" w:type="dxa"/>
            <w:gridSpan w:val="3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1007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社会效益（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8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  <w:tc>
          <w:tcPr>
            <w:tcW w:w="642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2765" w:type="dxa"/>
            <w:gridSpan w:val="2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根据项目实际，标识所产生的社会效益</w:t>
            </w:r>
          </w:p>
        </w:tc>
        <w:tc>
          <w:tcPr>
            <w:tcW w:w="3089" w:type="dxa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对照绩效目标，按社会效益实现程度计算得分（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8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79" w:hRule="atLeast"/>
        </w:trPr>
        <w:tc>
          <w:tcPr>
            <w:tcW w:w="608" w:type="dxa"/>
            <w:gridSpan w:val="2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736" w:type="dxa"/>
            <w:gridSpan w:val="3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1007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环境效益（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8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  <w:tc>
          <w:tcPr>
            <w:tcW w:w="642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2765" w:type="dxa"/>
            <w:gridSpan w:val="2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根据项目实际，标识对环境所产生的积极或消极影响</w:t>
            </w:r>
          </w:p>
        </w:tc>
        <w:tc>
          <w:tcPr>
            <w:tcW w:w="3089" w:type="dxa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对照绩效目标，按对环境所产生的实际影响程度计算得分（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8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79" w:hRule="atLeast"/>
        </w:trPr>
        <w:tc>
          <w:tcPr>
            <w:tcW w:w="608" w:type="dxa"/>
            <w:gridSpan w:val="2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736" w:type="dxa"/>
            <w:gridSpan w:val="3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1007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可持续影响（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8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  <w:tc>
          <w:tcPr>
            <w:tcW w:w="642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2765" w:type="dxa"/>
            <w:gridSpan w:val="2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项目产出能持续运用；项目运行所依赖的政策制度能持续执行</w:t>
            </w:r>
          </w:p>
        </w:tc>
        <w:tc>
          <w:tcPr>
            <w:tcW w:w="3089" w:type="dxa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项目产出能持续运用（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4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所依赖的政策制度能持续执行（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4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79" w:hRule="atLeast"/>
        </w:trPr>
        <w:tc>
          <w:tcPr>
            <w:tcW w:w="608" w:type="dxa"/>
            <w:gridSpan w:val="2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736" w:type="dxa"/>
            <w:gridSpan w:val="3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1007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服务对象满意度</w:t>
            </w:r>
          </w:p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8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  <w:tc>
          <w:tcPr>
            <w:tcW w:w="642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2765" w:type="dxa"/>
            <w:gridSpan w:val="2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项目预期服务对象对项目实施的满意程度</w:t>
            </w:r>
          </w:p>
        </w:tc>
        <w:tc>
          <w:tcPr>
            <w:tcW w:w="3089" w:type="dxa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按收集到的项目服务对象的满意率计算得分（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8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79" w:hRule="atLeast"/>
        </w:trPr>
        <w:tc>
          <w:tcPr>
            <w:tcW w:w="600" w:type="dxa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0"/>
              </w:rPr>
            </w:pPr>
            <w:r>
              <w:rPr>
                <w:rFonts w:hint="eastAsia" w:ascii="仿宋_GB2312" w:hAnsi="宋体" w:cs="宋体"/>
                <w:kern w:val="0"/>
                <w:sz w:val="20"/>
              </w:rPr>
              <w:t>总分</w:t>
            </w:r>
          </w:p>
        </w:tc>
        <w:tc>
          <w:tcPr>
            <w:tcW w:w="728" w:type="dxa"/>
            <w:gridSpan w:val="3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0"/>
              </w:rPr>
            </w:pPr>
            <w:r>
              <w:rPr>
                <w:rFonts w:hint="eastAsia" w:ascii="仿宋_GB2312" w:hAnsi="宋体" w:cs="宋体"/>
                <w:kern w:val="0"/>
                <w:sz w:val="20"/>
              </w:rPr>
              <w:t>　</w:t>
            </w:r>
          </w:p>
        </w:tc>
        <w:tc>
          <w:tcPr>
            <w:tcW w:w="1013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0"/>
              </w:rPr>
            </w:pPr>
            <w:r>
              <w:rPr>
                <w:rFonts w:hint="eastAsia" w:ascii="仿宋_GB2312" w:hAnsi="宋体" w:cs="宋体"/>
                <w:kern w:val="0"/>
                <w:sz w:val="20"/>
              </w:rPr>
              <w:t>　</w:t>
            </w:r>
          </w:p>
        </w:tc>
        <w:tc>
          <w:tcPr>
            <w:tcW w:w="634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hAnsi="宋体" w:eastAsia="仿宋_GB2312" w:cs="宋体"/>
                <w:kern w:val="0"/>
                <w:sz w:val="20"/>
                <w:lang w:val="en-US" w:eastAsia="zh-CN"/>
              </w:rPr>
            </w:pPr>
            <w:r>
              <w:rPr>
                <w:rFonts w:hint="eastAsia" w:ascii="仿宋_GB2312" w:hAnsi="宋体" w:cs="宋体"/>
                <w:kern w:val="0"/>
                <w:sz w:val="20"/>
                <w:lang w:val="en-US" w:eastAsia="zh-CN"/>
              </w:rPr>
              <w:t>100</w:t>
            </w:r>
          </w:p>
        </w:tc>
        <w:tc>
          <w:tcPr>
            <w:tcW w:w="2775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0"/>
              </w:rPr>
            </w:pPr>
            <w:r>
              <w:rPr>
                <w:rFonts w:hint="eastAsia" w:ascii="仿宋_GB2312" w:hAnsi="宋体" w:cs="宋体"/>
                <w:kern w:val="0"/>
                <w:sz w:val="20"/>
              </w:rPr>
              <w:t>　</w:t>
            </w:r>
          </w:p>
        </w:tc>
        <w:tc>
          <w:tcPr>
            <w:tcW w:w="3097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0"/>
              </w:rPr>
            </w:pPr>
            <w:r>
              <w:rPr>
                <w:rFonts w:hint="eastAsia" w:ascii="仿宋_GB2312" w:hAnsi="宋体" w:cs="宋体"/>
                <w:kern w:val="0"/>
                <w:sz w:val="20"/>
              </w:rPr>
              <w:t>　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方正美黑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”“Times New Roman”“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MicrosoftYaHei-Bold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MicrosoftYaHei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Calibri Ligh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0830A01"/>
    <w:rsid w:val="3AC67A36"/>
    <w:rsid w:val="50830A01"/>
    <w:rsid w:val="56496F59"/>
    <w:rsid w:val="71B05C52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仿宋_GB2312" w:asciiTheme="minorHAnsi" w:hAnsiTheme="minorHAnsi" w:cstheme="minorBidi"/>
      <w:kern w:val="2"/>
      <w:sz w:val="32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Office_10.1.0.6135_F1E327BC-269C-435d-A152-05C5408002CA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2017-04-15T07:23:00Z</dcterms:created>
  <dc:creator>Administrator</dc:creator>
  <cp:lastModifiedBy>Administrator</cp:lastModifiedBy>
  <dcterms:modified xsi:type="dcterms:W3CDTF">2017-04-20T00:45:19Z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