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区委组织部</w:t>
      </w:r>
      <w:r>
        <w:rPr>
          <w:rFonts w:hint="eastAsia" w:ascii="方正小标宋简体" w:hAnsi="方正小标宋简体" w:eastAsia="方正小标宋简体" w:cs="方正小标宋简体"/>
          <w:sz w:val="44"/>
          <w:szCs w:val="44"/>
        </w:rPr>
        <w:t>财政项目支出绩效评价报告</w:t>
      </w: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（城市社区党建工作经费）</w:t>
      </w:r>
    </w:p>
    <w:p>
      <w:pPr>
        <w:jc w:val="center"/>
        <w:rPr>
          <w:rFonts w:hint="eastAsia" w:ascii="方正小标宋简体" w:hAnsi="方正小标宋简体" w:eastAsia="方正小标宋简体" w:cs="方正小标宋简体"/>
          <w:sz w:val="44"/>
          <w:szCs w:val="44"/>
        </w:rPr>
      </w:pPr>
    </w:p>
    <w:p>
      <w:pPr>
        <w:ind w:firstLine="643" w:firstLineChars="200"/>
        <w:rPr>
          <w:rFonts w:ascii="仿宋_GB2312"/>
          <w:b/>
          <w:szCs w:val="32"/>
        </w:rPr>
      </w:pPr>
      <w:r>
        <w:rPr>
          <w:rFonts w:hint="eastAsia" w:ascii="仿宋_GB2312"/>
          <w:b/>
          <w:szCs w:val="32"/>
        </w:rPr>
        <w:t>一、项目基本情况</w:t>
      </w:r>
    </w:p>
    <w:p>
      <w:pPr>
        <w:ind w:firstLine="640" w:firstLineChars="200"/>
        <w:outlineLvl w:val="0"/>
        <w:rPr>
          <w:rFonts w:ascii="仿宋_GB2312"/>
          <w:szCs w:val="32"/>
        </w:rPr>
      </w:pPr>
      <w:r>
        <w:rPr>
          <w:rFonts w:hint="eastAsia" w:ascii="仿宋_GB2312"/>
          <w:szCs w:val="32"/>
        </w:rPr>
        <w:t>（一）项目概况。</w:t>
      </w:r>
    </w:p>
    <w:p>
      <w:pPr>
        <w:ind w:firstLine="640" w:firstLineChars="200"/>
        <w:outlineLvl w:val="0"/>
        <w:rPr>
          <w:rFonts w:ascii="仿宋_GB2312"/>
          <w:szCs w:val="32"/>
        </w:rPr>
      </w:pPr>
      <w:r>
        <w:rPr>
          <w:rFonts w:hint="eastAsia"/>
          <w:szCs w:val="32"/>
        </w:rPr>
        <w:t>认真贯彻落实中央、省、市、区关于加强基层组织建设要求，</w:t>
      </w:r>
      <w:r>
        <w:rPr>
          <w:szCs w:val="32"/>
        </w:rPr>
        <w:t>全面推进学习型、服务型、创新型基层党组织建设，提升基层党建科学化水平</w:t>
      </w:r>
      <w:r>
        <w:rPr>
          <w:rFonts w:hint="eastAsia"/>
          <w:szCs w:val="32"/>
        </w:rPr>
        <w:t>。</w:t>
      </w:r>
    </w:p>
    <w:p>
      <w:pPr>
        <w:ind w:firstLine="640" w:firstLineChars="200"/>
        <w:rPr>
          <w:rFonts w:ascii="仿宋_GB2312"/>
          <w:szCs w:val="32"/>
        </w:rPr>
      </w:pPr>
      <w:r>
        <w:rPr>
          <w:rFonts w:hint="eastAsia" w:ascii="仿宋_GB2312"/>
          <w:szCs w:val="32"/>
        </w:rPr>
        <w:t>（二）项目绩效目标。</w:t>
      </w:r>
    </w:p>
    <w:p>
      <w:pPr>
        <w:ind w:firstLine="640" w:firstLineChars="200"/>
        <w:rPr>
          <w:rFonts w:ascii="仿宋_GB2312"/>
          <w:szCs w:val="32"/>
        </w:rPr>
      </w:pPr>
      <w:r>
        <w:rPr>
          <w:szCs w:val="32"/>
        </w:rPr>
        <w:t>加强党的执政能力建设、先进性和纯洁性建设为主线，以改革创新为动力，以组织、队伍、活动、制度、保障为抓手，构建学习型、服务型、创新型基层党组织，全面推进各领域基层党组织建设，努力</w:t>
      </w:r>
      <w:r>
        <w:rPr>
          <w:szCs w:val="32"/>
          <w:shd w:val="clear" w:color="auto" w:fill="FFFFFF"/>
        </w:rPr>
        <w:t>提高全区党的建设科学化水平，</w:t>
      </w:r>
      <w:r>
        <w:rPr>
          <w:szCs w:val="32"/>
        </w:rPr>
        <w:t>为实现呈贡新区突破崛起跨越发展提供坚强的组织保障。</w:t>
      </w:r>
    </w:p>
    <w:p>
      <w:pPr>
        <w:ind w:firstLine="643" w:firstLineChars="200"/>
        <w:rPr>
          <w:rFonts w:ascii="仿宋_GB2312"/>
          <w:b/>
          <w:szCs w:val="32"/>
        </w:rPr>
      </w:pPr>
      <w:r>
        <w:rPr>
          <w:rFonts w:hint="eastAsia" w:ascii="仿宋_GB2312"/>
          <w:b/>
          <w:szCs w:val="32"/>
        </w:rPr>
        <w:t>二、项目单位绩效报告情况。</w:t>
      </w:r>
    </w:p>
    <w:p>
      <w:pPr>
        <w:ind w:firstLine="640" w:firstLineChars="200"/>
        <w:rPr>
          <w:szCs w:val="32"/>
        </w:rPr>
      </w:pPr>
      <w:r>
        <w:rPr>
          <w:rFonts w:hint="eastAsia"/>
          <w:szCs w:val="32"/>
        </w:rPr>
        <w:t>各个项目单位都报告了绩效评价目的、项目资金使用情况、项目组织情况分析、项目管理情况分析。项目单位都依据设定的绩效目标按进度推进项目建设，做到项目资金专款专用。</w:t>
      </w:r>
    </w:p>
    <w:p>
      <w:pPr>
        <w:ind w:firstLine="643" w:firstLineChars="200"/>
        <w:rPr>
          <w:rFonts w:ascii="仿宋_GB2312"/>
          <w:b/>
          <w:szCs w:val="32"/>
        </w:rPr>
      </w:pPr>
      <w:r>
        <w:rPr>
          <w:rFonts w:hint="eastAsia" w:ascii="仿宋_GB2312"/>
          <w:b/>
          <w:szCs w:val="32"/>
        </w:rPr>
        <w:t>三、绩效评价工作情况</w:t>
      </w:r>
    </w:p>
    <w:p>
      <w:pPr>
        <w:spacing w:line="560" w:lineRule="atLeast"/>
        <w:ind w:firstLine="640" w:firstLineChars="200"/>
        <w:rPr>
          <w:rFonts w:ascii="楷体" w:hAnsi="楷体" w:eastAsia="楷体" w:cs="仿宋"/>
          <w:szCs w:val="32"/>
        </w:rPr>
      </w:pPr>
      <w:r>
        <w:rPr>
          <w:rFonts w:hint="eastAsia" w:ascii="楷体" w:hAnsi="楷体" w:eastAsia="楷体" w:cs="仿宋"/>
          <w:szCs w:val="32"/>
        </w:rPr>
        <w:t>（一）绩效评价目的</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进一步加强预算绩效管理，全面分析和综合评价</w:t>
      </w:r>
      <w:r>
        <w:rPr>
          <w:rFonts w:ascii="仿宋" w:hAnsi="仿宋" w:eastAsia="仿宋" w:cs="仿宋"/>
          <w:szCs w:val="32"/>
        </w:rPr>
        <w:t>2016</w:t>
      </w:r>
      <w:r>
        <w:rPr>
          <w:rFonts w:hint="eastAsia" w:ascii="仿宋" w:hAnsi="仿宋" w:eastAsia="仿宋" w:cs="仿宋"/>
          <w:szCs w:val="32"/>
        </w:rPr>
        <w:t>年度财政资金的分配使用管理情况，强化支出责任，切实提高财政资金的使用效益和项目管理水平。</w:t>
      </w:r>
    </w:p>
    <w:p>
      <w:pPr>
        <w:numPr>
          <w:ilvl w:val="0"/>
          <w:numId w:val="1"/>
        </w:numPr>
        <w:spacing w:line="560" w:lineRule="atLeast"/>
        <w:ind w:firstLine="640" w:firstLineChars="200"/>
        <w:rPr>
          <w:rFonts w:ascii="楷体" w:hAnsi="楷体" w:eastAsia="楷体" w:cs="仿宋"/>
          <w:szCs w:val="32"/>
        </w:rPr>
      </w:pPr>
      <w:r>
        <w:rPr>
          <w:rFonts w:hint="eastAsia" w:ascii="楷体" w:hAnsi="楷体" w:eastAsia="楷体" w:cs="仿宋"/>
          <w:szCs w:val="32"/>
        </w:rPr>
        <w:t>绩效评价原则、评价指标体系</w:t>
      </w:r>
    </w:p>
    <w:p>
      <w:pPr>
        <w:spacing w:line="560" w:lineRule="atLeast"/>
        <w:ind w:firstLine="643" w:firstLineChars="200"/>
        <w:rPr>
          <w:rFonts w:ascii="仿宋" w:hAnsi="仿宋" w:eastAsia="仿宋" w:cs="仿宋"/>
          <w:b/>
          <w:szCs w:val="32"/>
        </w:rPr>
      </w:pPr>
      <w:r>
        <w:rPr>
          <w:rFonts w:ascii="仿宋" w:hAnsi="仿宋" w:eastAsia="仿宋" w:cs="仿宋"/>
          <w:b/>
          <w:szCs w:val="32"/>
        </w:rPr>
        <w:t>1.</w:t>
      </w:r>
      <w:r>
        <w:rPr>
          <w:rFonts w:hint="eastAsia" w:ascii="仿宋" w:hAnsi="仿宋" w:eastAsia="仿宋" w:cs="仿宋"/>
          <w:b/>
          <w:szCs w:val="32"/>
        </w:rPr>
        <w:t>原则</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遵循客观公正，操作简便高效，尊重客观实际，实事求是的原则。</w:t>
      </w:r>
    </w:p>
    <w:p>
      <w:pPr>
        <w:numPr>
          <w:ilvl w:val="0"/>
          <w:numId w:val="2"/>
        </w:numPr>
        <w:spacing w:line="560" w:lineRule="atLeast"/>
        <w:ind w:firstLine="643" w:firstLineChars="200"/>
        <w:rPr>
          <w:rFonts w:ascii="仿宋" w:hAnsi="仿宋" w:eastAsia="仿宋" w:cs="仿宋"/>
          <w:b/>
          <w:szCs w:val="32"/>
        </w:rPr>
      </w:pPr>
      <w:r>
        <w:rPr>
          <w:rFonts w:hint="eastAsia" w:ascii="仿宋" w:hAnsi="仿宋" w:eastAsia="仿宋" w:cs="仿宋"/>
          <w:b/>
          <w:szCs w:val="32"/>
        </w:rPr>
        <w:t>评价指标体系</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主要从产出指标（数量指标、质量指标、时效指标、成本指标）效益指标（经济效益指标、社会效益指标、生态效益指标、可持续影响指标）、满意度指标进行评价。</w:t>
      </w:r>
    </w:p>
    <w:p>
      <w:pPr>
        <w:spacing w:line="560" w:lineRule="atLeast"/>
        <w:ind w:left="640" w:leftChars="200"/>
        <w:rPr>
          <w:rFonts w:ascii="楷体" w:hAnsi="楷体" w:eastAsia="楷体" w:cs="仿宋"/>
          <w:szCs w:val="32"/>
        </w:rPr>
      </w:pPr>
      <w:r>
        <w:rPr>
          <w:rFonts w:hint="eastAsia" w:ascii="楷体" w:hAnsi="楷体" w:eastAsia="楷体" w:cs="仿宋"/>
          <w:szCs w:val="32"/>
        </w:rPr>
        <w:t>（三）绩效评价工作过程</w:t>
      </w:r>
    </w:p>
    <w:p>
      <w:pPr>
        <w:numPr>
          <w:ilvl w:val="0"/>
          <w:numId w:val="3"/>
        </w:numPr>
        <w:spacing w:line="560" w:lineRule="atLeast"/>
        <w:ind w:firstLine="643" w:firstLineChars="200"/>
        <w:rPr>
          <w:rFonts w:ascii="仿宋" w:hAnsi="仿宋" w:eastAsia="仿宋" w:cs="仿宋"/>
          <w:b/>
          <w:szCs w:val="32"/>
        </w:rPr>
      </w:pPr>
      <w:r>
        <w:rPr>
          <w:rFonts w:hint="eastAsia" w:ascii="仿宋" w:hAnsi="仿宋" w:eastAsia="仿宋" w:cs="仿宋"/>
          <w:b/>
          <w:szCs w:val="32"/>
        </w:rPr>
        <w:t>前期准备</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按照绩效自评工作要求，组成了以杨艾坤同志为组长的绩效评价工作小组，并组织各街道党工委负责人对相关的国家法律法规进行了认真学习，掌握政策，根据部门整体收支情况制定了部门整体支出绩效评价实施方案。</w:t>
      </w:r>
    </w:p>
    <w:p>
      <w:pPr>
        <w:numPr>
          <w:ilvl w:val="0"/>
          <w:numId w:val="3"/>
        </w:numPr>
        <w:spacing w:line="560" w:lineRule="atLeast"/>
        <w:ind w:firstLine="643" w:firstLineChars="200"/>
        <w:rPr>
          <w:rFonts w:ascii="仿宋" w:hAnsi="仿宋" w:eastAsia="仿宋" w:cs="仿宋"/>
          <w:b/>
          <w:szCs w:val="32"/>
        </w:rPr>
      </w:pPr>
      <w:r>
        <w:rPr>
          <w:rFonts w:hint="eastAsia" w:ascii="仿宋" w:hAnsi="仿宋" w:eastAsia="仿宋" w:cs="仿宋"/>
          <w:b/>
          <w:szCs w:val="32"/>
        </w:rPr>
        <w:t>组织实施</w:t>
      </w:r>
    </w:p>
    <w:p>
      <w:pPr>
        <w:spacing w:line="560" w:lineRule="atLeast"/>
        <w:ind w:left="141" w:leftChars="44" w:firstLine="496" w:firstLineChars="155"/>
        <w:jc w:val="left"/>
        <w:rPr>
          <w:rFonts w:ascii="仿宋" w:hAnsi="仿宋" w:eastAsia="仿宋" w:cs="仿宋"/>
          <w:szCs w:val="32"/>
        </w:rPr>
      </w:pPr>
      <w:r>
        <w:rPr>
          <w:rFonts w:hint="eastAsia" w:ascii="仿宋" w:hAnsi="仿宋" w:eastAsia="仿宋" w:cs="仿宋"/>
          <w:szCs w:val="32"/>
        </w:rPr>
        <w:t>采用自评以及核查法对本单位财政项目进行实地绩效考评。</w:t>
      </w:r>
    </w:p>
    <w:p>
      <w:pPr>
        <w:numPr>
          <w:ilvl w:val="0"/>
          <w:numId w:val="3"/>
        </w:numPr>
        <w:spacing w:line="560" w:lineRule="atLeast"/>
        <w:ind w:firstLine="643" w:firstLineChars="200"/>
        <w:rPr>
          <w:rFonts w:ascii="仿宋" w:hAnsi="仿宋" w:eastAsia="仿宋" w:cs="仿宋"/>
          <w:b/>
          <w:szCs w:val="32"/>
        </w:rPr>
      </w:pPr>
      <w:r>
        <w:rPr>
          <w:rFonts w:hint="eastAsia" w:ascii="仿宋" w:hAnsi="仿宋" w:eastAsia="仿宋" w:cs="仿宋"/>
          <w:b/>
          <w:szCs w:val="32"/>
        </w:rPr>
        <w:t>分析评价</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对评价过程中收集资料进行归纳，汇总分析，依据设定的绩效评价指标体系进行评分，形成项目绩效书面报告。</w:t>
      </w:r>
    </w:p>
    <w:p>
      <w:pPr>
        <w:ind w:firstLine="643" w:firstLineChars="200"/>
        <w:rPr>
          <w:rFonts w:ascii="仿宋_GB2312"/>
          <w:b/>
          <w:szCs w:val="32"/>
        </w:rPr>
      </w:pPr>
      <w:r>
        <w:rPr>
          <w:rFonts w:hint="eastAsia" w:ascii="仿宋_GB2312"/>
          <w:b/>
          <w:szCs w:val="32"/>
        </w:rPr>
        <w:t>四、绩效评价指标分析情况</w:t>
      </w:r>
    </w:p>
    <w:p>
      <w:pPr>
        <w:ind w:firstLine="640" w:firstLineChars="200"/>
        <w:outlineLvl w:val="0"/>
        <w:rPr>
          <w:rFonts w:ascii="仿宋_GB2312"/>
          <w:szCs w:val="32"/>
        </w:rPr>
      </w:pPr>
      <w:r>
        <w:rPr>
          <w:rFonts w:hint="eastAsia" w:ascii="仿宋_GB2312"/>
          <w:szCs w:val="32"/>
        </w:rPr>
        <w:t>（一）项目资金情况分析。</w:t>
      </w:r>
    </w:p>
    <w:p>
      <w:pPr>
        <w:ind w:firstLine="640" w:firstLineChars="200"/>
        <w:outlineLvl w:val="0"/>
        <w:rPr>
          <w:rFonts w:ascii="仿宋_GB2312"/>
          <w:szCs w:val="32"/>
        </w:rPr>
      </w:pPr>
      <w:r>
        <w:rPr>
          <w:rFonts w:ascii="仿宋_GB2312"/>
          <w:szCs w:val="32"/>
        </w:rPr>
        <w:t>1.</w:t>
      </w:r>
      <w:r>
        <w:rPr>
          <w:rFonts w:hint="eastAsia" w:ascii="仿宋_GB2312"/>
          <w:szCs w:val="32"/>
        </w:rPr>
        <w:t>项目资金到位情况分析。</w:t>
      </w:r>
    </w:p>
    <w:p>
      <w:pPr>
        <w:ind w:firstLine="640" w:firstLineChars="200"/>
        <w:outlineLvl w:val="0"/>
        <w:rPr>
          <w:rFonts w:ascii="仿宋_GB2312"/>
          <w:szCs w:val="32"/>
        </w:rPr>
      </w:pPr>
      <w:r>
        <w:rPr>
          <w:rFonts w:hint="eastAsia" w:ascii="仿宋_GB2312"/>
          <w:szCs w:val="32"/>
        </w:rPr>
        <w:t>项目资金严格按照预算安排全部到位。</w:t>
      </w:r>
    </w:p>
    <w:p>
      <w:pPr>
        <w:ind w:firstLine="640" w:firstLineChars="200"/>
        <w:outlineLvl w:val="0"/>
        <w:rPr>
          <w:rFonts w:ascii="仿宋_GB2312"/>
          <w:szCs w:val="32"/>
        </w:rPr>
      </w:pPr>
      <w:r>
        <w:rPr>
          <w:rFonts w:ascii="仿宋_GB2312"/>
          <w:szCs w:val="32"/>
        </w:rPr>
        <w:t>2.</w:t>
      </w:r>
      <w:r>
        <w:rPr>
          <w:rFonts w:hint="eastAsia" w:ascii="仿宋_GB2312"/>
          <w:szCs w:val="32"/>
        </w:rPr>
        <w:t>项目资金使用情况分析。</w:t>
      </w:r>
    </w:p>
    <w:p>
      <w:pPr>
        <w:ind w:firstLine="640" w:firstLineChars="200"/>
        <w:outlineLvl w:val="0"/>
        <w:rPr>
          <w:rFonts w:ascii="仿宋_GB2312"/>
          <w:szCs w:val="32"/>
        </w:rPr>
      </w:pPr>
      <w:r>
        <w:rPr>
          <w:rFonts w:hint="eastAsia" w:ascii="仿宋_GB2312"/>
          <w:szCs w:val="32"/>
        </w:rPr>
        <w:t>本项项目资金合计805000.00元（捌拾万零伍仟元整）全额用于城市社区党建工作。</w:t>
      </w:r>
      <w:r>
        <w:rPr>
          <w:rFonts w:hint="eastAsia" w:ascii="仿宋" w:hAnsi="仿宋" w:eastAsia="仿宋" w:cs="仿宋"/>
          <w:szCs w:val="32"/>
        </w:rPr>
        <w:t>在资金使用方面严格按照《昆明市呈贡区财政局关于下达2016年部门预算批复的通知》（呈财预〔2016〕18号）执行，做到专款专用。</w:t>
      </w:r>
    </w:p>
    <w:p>
      <w:pPr>
        <w:ind w:firstLine="640" w:firstLineChars="200"/>
        <w:outlineLvl w:val="0"/>
        <w:rPr>
          <w:rFonts w:ascii="仿宋_GB2312"/>
          <w:szCs w:val="32"/>
        </w:rPr>
      </w:pPr>
      <w:r>
        <w:rPr>
          <w:rFonts w:ascii="仿宋_GB2312"/>
          <w:szCs w:val="32"/>
        </w:rPr>
        <w:t>3.</w:t>
      </w:r>
      <w:r>
        <w:rPr>
          <w:rFonts w:hint="eastAsia" w:ascii="仿宋_GB2312"/>
          <w:szCs w:val="32"/>
        </w:rPr>
        <w:t>项目资金管理情况分析。</w:t>
      </w:r>
    </w:p>
    <w:p>
      <w:pPr>
        <w:ind w:firstLine="640" w:firstLineChars="200"/>
        <w:outlineLvl w:val="0"/>
        <w:rPr>
          <w:rFonts w:ascii="仿宋_GB2312"/>
          <w:szCs w:val="32"/>
        </w:rPr>
      </w:pPr>
      <w:r>
        <w:rPr>
          <w:rFonts w:hint="eastAsia" w:ascii="仿宋_GB2312"/>
          <w:szCs w:val="32"/>
        </w:rPr>
        <w:t>通过实施村财站管和“四议两公开”等制度，严格监督管理城市社区党建工作经费。</w:t>
      </w:r>
    </w:p>
    <w:p>
      <w:pPr>
        <w:ind w:firstLine="640" w:firstLineChars="200"/>
        <w:outlineLvl w:val="0"/>
        <w:rPr>
          <w:rFonts w:ascii="仿宋_GB2312"/>
          <w:szCs w:val="32"/>
        </w:rPr>
      </w:pPr>
      <w:r>
        <w:rPr>
          <w:rFonts w:hint="eastAsia" w:ascii="仿宋_GB2312"/>
          <w:szCs w:val="32"/>
        </w:rPr>
        <w:t>（二）项目实施情况分析。</w:t>
      </w:r>
    </w:p>
    <w:p>
      <w:pPr>
        <w:ind w:firstLine="640" w:firstLineChars="200"/>
        <w:outlineLvl w:val="0"/>
        <w:rPr>
          <w:rFonts w:ascii="仿宋_GB2312"/>
          <w:szCs w:val="32"/>
        </w:rPr>
      </w:pPr>
      <w:r>
        <w:rPr>
          <w:rFonts w:ascii="仿宋_GB2312"/>
          <w:szCs w:val="32"/>
        </w:rPr>
        <w:t>1.</w:t>
      </w:r>
      <w:r>
        <w:rPr>
          <w:rFonts w:hint="eastAsia" w:ascii="仿宋_GB2312"/>
          <w:szCs w:val="32"/>
        </w:rPr>
        <w:t>项目组织情况分析。</w:t>
      </w:r>
    </w:p>
    <w:p>
      <w:pPr>
        <w:ind w:firstLine="640" w:firstLineChars="200"/>
        <w:outlineLvl w:val="0"/>
        <w:rPr>
          <w:rFonts w:ascii="仿宋_GB2312"/>
          <w:szCs w:val="32"/>
        </w:rPr>
      </w:pPr>
      <w:r>
        <w:rPr>
          <w:rFonts w:hint="eastAsia" w:ascii="仿宋_GB2312"/>
          <w:szCs w:val="32"/>
        </w:rPr>
        <w:t>严格按照省市区组织部门年度工作要求，由街道党工委和社区党组织具体组织实施开展相关城市社区党建工作。</w:t>
      </w:r>
    </w:p>
    <w:p>
      <w:pPr>
        <w:ind w:firstLine="640" w:firstLineChars="200"/>
        <w:outlineLvl w:val="0"/>
        <w:rPr>
          <w:rFonts w:ascii="仿宋_GB2312"/>
          <w:szCs w:val="32"/>
        </w:rPr>
      </w:pPr>
      <w:r>
        <w:rPr>
          <w:rFonts w:ascii="仿宋_GB2312"/>
          <w:szCs w:val="32"/>
        </w:rPr>
        <w:t>2.</w:t>
      </w:r>
      <w:r>
        <w:rPr>
          <w:rFonts w:hint="eastAsia" w:ascii="仿宋_GB2312"/>
          <w:szCs w:val="32"/>
        </w:rPr>
        <w:t>项目管理情况分析。</w:t>
      </w:r>
    </w:p>
    <w:p>
      <w:pPr>
        <w:ind w:firstLine="640" w:firstLineChars="200"/>
        <w:outlineLvl w:val="0"/>
        <w:rPr>
          <w:rFonts w:ascii="仿宋_GB2312"/>
          <w:szCs w:val="32"/>
        </w:rPr>
      </w:pPr>
      <w:r>
        <w:rPr>
          <w:rFonts w:hint="eastAsia" w:ascii="仿宋_GB2312"/>
          <w:szCs w:val="32"/>
        </w:rPr>
        <w:t>按照村财站管原则，对项目资金严格进行管理。</w:t>
      </w:r>
    </w:p>
    <w:p>
      <w:pPr>
        <w:ind w:firstLine="640" w:firstLineChars="200"/>
        <w:outlineLvl w:val="0"/>
        <w:rPr>
          <w:rFonts w:ascii="仿宋_GB2312"/>
          <w:szCs w:val="32"/>
        </w:rPr>
      </w:pPr>
      <w:r>
        <w:rPr>
          <w:rFonts w:hint="eastAsia" w:ascii="仿宋_GB2312"/>
          <w:szCs w:val="32"/>
        </w:rPr>
        <w:t>（三）项目绩效情况分析。</w:t>
      </w:r>
    </w:p>
    <w:p>
      <w:pPr>
        <w:ind w:firstLine="640" w:firstLineChars="200"/>
        <w:outlineLvl w:val="0"/>
        <w:rPr>
          <w:rFonts w:ascii="仿宋_GB2312"/>
          <w:szCs w:val="32"/>
        </w:rPr>
      </w:pPr>
      <w:r>
        <w:rPr>
          <w:rFonts w:ascii="仿宋_GB2312"/>
          <w:szCs w:val="32"/>
        </w:rPr>
        <w:t>1.</w:t>
      </w:r>
      <w:r>
        <w:rPr>
          <w:rFonts w:hint="eastAsia" w:ascii="仿宋_GB2312"/>
          <w:szCs w:val="32"/>
        </w:rPr>
        <w:t>项目经济性分析。</w:t>
      </w:r>
    </w:p>
    <w:p>
      <w:pPr>
        <w:ind w:firstLine="640" w:firstLineChars="200"/>
        <w:outlineLvl w:val="0"/>
        <w:rPr>
          <w:rFonts w:ascii="仿宋_GB2312"/>
          <w:szCs w:val="32"/>
        </w:rPr>
      </w:pPr>
      <w:r>
        <w:rPr>
          <w:rFonts w:hint="eastAsia" w:ascii="仿宋_GB2312"/>
          <w:szCs w:val="32"/>
        </w:rPr>
        <w:t>严格按照预算控制项目成本，按照厉行节约的原则对项目经费使用情况严格把控。</w:t>
      </w:r>
    </w:p>
    <w:p>
      <w:pPr>
        <w:ind w:firstLine="640" w:firstLineChars="200"/>
        <w:outlineLvl w:val="0"/>
        <w:rPr>
          <w:rFonts w:ascii="仿宋_GB2312"/>
          <w:szCs w:val="32"/>
        </w:rPr>
      </w:pPr>
      <w:r>
        <w:rPr>
          <w:rFonts w:ascii="仿宋_GB2312"/>
          <w:szCs w:val="32"/>
        </w:rPr>
        <w:t>2.</w:t>
      </w:r>
      <w:r>
        <w:rPr>
          <w:rFonts w:hint="eastAsia" w:ascii="仿宋_GB2312"/>
          <w:szCs w:val="32"/>
        </w:rPr>
        <w:t>项目的效率性分析。</w:t>
      </w:r>
    </w:p>
    <w:p>
      <w:pPr>
        <w:ind w:firstLine="640" w:firstLineChars="200"/>
        <w:outlineLvl w:val="0"/>
        <w:rPr>
          <w:rFonts w:ascii="仿宋_GB2312"/>
          <w:szCs w:val="32"/>
        </w:rPr>
      </w:pPr>
      <w:r>
        <w:rPr>
          <w:rFonts w:hint="eastAsia" w:ascii="仿宋_GB2312"/>
          <w:szCs w:val="32"/>
        </w:rPr>
        <w:t>严格按照省市区组织部门工作要求完成相应工作任务。</w:t>
      </w:r>
    </w:p>
    <w:p>
      <w:pPr>
        <w:ind w:firstLine="640" w:firstLineChars="200"/>
        <w:outlineLvl w:val="0"/>
        <w:rPr>
          <w:rFonts w:ascii="仿宋_GB2312"/>
          <w:szCs w:val="32"/>
        </w:rPr>
      </w:pPr>
      <w:r>
        <w:rPr>
          <w:rFonts w:ascii="仿宋_GB2312"/>
          <w:szCs w:val="32"/>
        </w:rPr>
        <w:t>3.</w:t>
      </w:r>
      <w:r>
        <w:rPr>
          <w:rFonts w:hint="eastAsia" w:ascii="仿宋_GB2312"/>
          <w:szCs w:val="32"/>
        </w:rPr>
        <w:t>项目的效益性分析。</w:t>
      </w:r>
    </w:p>
    <w:p>
      <w:pPr>
        <w:ind w:firstLine="640" w:firstLineChars="200"/>
        <w:outlineLvl w:val="0"/>
        <w:rPr>
          <w:rFonts w:ascii="仿宋_GB2312"/>
          <w:szCs w:val="32"/>
        </w:rPr>
      </w:pPr>
      <w:r>
        <w:rPr>
          <w:rFonts w:hint="eastAsia"/>
          <w:szCs w:val="32"/>
        </w:rPr>
        <w:t>基层党组织</w:t>
      </w:r>
      <w:r>
        <w:rPr>
          <w:szCs w:val="32"/>
        </w:rPr>
        <w:t>组织结构规范优化</w:t>
      </w:r>
      <w:r>
        <w:rPr>
          <w:rFonts w:hint="eastAsia"/>
          <w:szCs w:val="32"/>
        </w:rPr>
        <w:t>、</w:t>
      </w:r>
      <w:r>
        <w:rPr>
          <w:szCs w:val="32"/>
        </w:rPr>
        <w:t>队伍素质稳步提升</w:t>
      </w:r>
      <w:r>
        <w:rPr>
          <w:rFonts w:hint="eastAsia"/>
          <w:szCs w:val="32"/>
        </w:rPr>
        <w:t>、</w:t>
      </w:r>
      <w:r>
        <w:rPr>
          <w:szCs w:val="32"/>
        </w:rPr>
        <w:t>活动成效更加明显</w:t>
      </w:r>
      <w:r>
        <w:rPr>
          <w:rFonts w:hint="eastAsia"/>
          <w:szCs w:val="32"/>
        </w:rPr>
        <w:t>、</w:t>
      </w:r>
      <w:r>
        <w:rPr>
          <w:szCs w:val="32"/>
        </w:rPr>
        <w:t>制度机制健全完善</w:t>
      </w:r>
      <w:r>
        <w:rPr>
          <w:rFonts w:hint="eastAsia"/>
          <w:szCs w:val="32"/>
        </w:rPr>
        <w:t>、</w:t>
      </w:r>
      <w:r>
        <w:rPr>
          <w:szCs w:val="32"/>
        </w:rPr>
        <w:t>保障体系配套落实。</w:t>
      </w:r>
    </w:p>
    <w:p>
      <w:pPr>
        <w:ind w:firstLine="643" w:firstLineChars="200"/>
        <w:rPr>
          <w:rFonts w:ascii="仿宋_GB2312"/>
          <w:bCs/>
          <w:szCs w:val="32"/>
        </w:rPr>
      </w:pPr>
      <w:r>
        <w:rPr>
          <w:rFonts w:hint="eastAsia" w:ascii="仿宋_GB2312"/>
          <w:b/>
          <w:szCs w:val="32"/>
        </w:rPr>
        <w:t>五、综合评价情况及评价结论</w:t>
      </w:r>
    </w:p>
    <w:p>
      <w:pPr>
        <w:ind w:firstLine="640" w:firstLineChars="200"/>
        <w:outlineLvl w:val="0"/>
        <w:rPr>
          <w:rFonts w:hint="eastAsia" w:ascii="仿宋_GB2312"/>
          <w:szCs w:val="32"/>
        </w:rPr>
      </w:pPr>
      <w:r>
        <w:rPr>
          <w:rFonts w:hint="eastAsia" w:ascii="仿宋_GB2312"/>
          <w:szCs w:val="32"/>
        </w:rPr>
        <w:t>本财政项目从经济角度、可持续发展角度而言，整体发挥的经济效益、生态效益、社会效益很明显，一定程度上带动了呈贡区基层党建工作水平提升，经绩效评价工作小组综合分析，评价结果为优。</w:t>
      </w:r>
    </w:p>
    <w:p>
      <w:pPr>
        <w:ind w:firstLine="643" w:firstLineChars="200"/>
        <w:rPr>
          <w:rFonts w:ascii="仿宋_GB2312"/>
          <w:b/>
          <w:szCs w:val="32"/>
        </w:rPr>
      </w:pPr>
      <w:r>
        <w:rPr>
          <w:rFonts w:hint="eastAsia" w:ascii="仿宋_GB2312"/>
          <w:b/>
          <w:szCs w:val="32"/>
        </w:rPr>
        <w:t>六、绩效评价结果应用建议</w:t>
      </w:r>
    </w:p>
    <w:p>
      <w:pPr>
        <w:ind w:firstLine="640" w:firstLineChars="200"/>
        <w:rPr>
          <w:rFonts w:ascii="仿宋_GB2312"/>
          <w:szCs w:val="32"/>
        </w:rPr>
      </w:pPr>
      <w:r>
        <w:rPr>
          <w:rFonts w:hint="eastAsia" w:ascii="仿宋_GB2312"/>
          <w:szCs w:val="32"/>
        </w:rPr>
        <w:t>建议由各项目实施单位直接申请项目经费，由区委组织部审核。</w:t>
      </w:r>
    </w:p>
    <w:p>
      <w:pPr>
        <w:ind w:firstLine="643" w:firstLineChars="200"/>
        <w:rPr>
          <w:rFonts w:ascii="仿宋_GB2312"/>
          <w:b/>
          <w:szCs w:val="32"/>
        </w:rPr>
      </w:pPr>
      <w:r>
        <w:rPr>
          <w:rFonts w:hint="eastAsia" w:ascii="仿宋_GB2312"/>
          <w:b/>
          <w:szCs w:val="32"/>
        </w:rPr>
        <w:t>七、主要经验及做法、存在的问题和建议。</w:t>
      </w:r>
    </w:p>
    <w:p>
      <w:pPr>
        <w:ind w:firstLine="640" w:firstLineChars="200"/>
        <w:rPr>
          <w:rFonts w:ascii="仿宋_GB2312"/>
          <w:szCs w:val="32"/>
        </w:rPr>
      </w:pPr>
      <w:r>
        <w:rPr>
          <w:rFonts w:hint="eastAsia" w:ascii="仿宋_GB2312"/>
          <w:szCs w:val="32"/>
        </w:rPr>
        <w:t>无</w:t>
      </w:r>
    </w:p>
    <w:p>
      <w:pPr>
        <w:ind w:firstLine="643" w:firstLineChars="200"/>
        <w:rPr>
          <w:rFonts w:ascii="仿宋_GB2312"/>
          <w:b/>
          <w:szCs w:val="32"/>
        </w:rPr>
      </w:pPr>
      <w:r>
        <w:rPr>
          <w:rFonts w:hint="eastAsia" w:ascii="仿宋_GB2312"/>
          <w:b/>
          <w:szCs w:val="32"/>
        </w:rPr>
        <w:t>八、其他需说明的问题。</w:t>
      </w:r>
    </w:p>
    <w:p>
      <w:pPr>
        <w:ind w:firstLine="640" w:firstLineChars="200"/>
        <w:rPr>
          <w:rFonts w:hint="eastAsia"/>
        </w:rPr>
      </w:pPr>
      <w:r>
        <w:rPr>
          <w:rFonts w:hint="eastAsia"/>
        </w:rPr>
        <w:t>无</w:t>
      </w:r>
    </w:p>
    <w:p>
      <w:pPr>
        <w:ind w:firstLine="640" w:firstLineChars="200"/>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仿宋_GB2312" w:cs="仿宋_GB231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仿宋_GB2312" w:cs="仿宋_GB231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right"/>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中共昆明市呈贡区委组织部</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0" w:leftChars="0" w:right="0" w:rightChars="0" w:firstLine="640"/>
        <w:jc w:val="right"/>
        <w:textAlignment w:val="auto"/>
        <w:rPr>
          <w:rFonts w:hint="eastAsia"/>
        </w:rPr>
      </w:pPr>
      <w:r>
        <w:rPr>
          <w:rFonts w:hint="eastAsia" w:ascii="仿宋_GB2312" w:hAnsi="仿宋_GB2312" w:cs="仿宋_GB2312"/>
          <w:szCs w:val="32"/>
          <w:lang w:val="en-US" w:eastAsia="zh-CN"/>
        </w:rPr>
        <w:t xml:space="preserve">2017年4月19日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美黑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华文行楷">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imes New Roman”“">
    <w:altName w:val="宋体"/>
    <w:panose1 w:val="00000000000000000000"/>
    <w:charset w:val="86"/>
    <w:family w:val="roman"/>
    <w:pitch w:val="default"/>
    <w:sig w:usb0="00000000" w:usb1="00000000" w:usb2="00000010" w:usb3="00000000" w:csb0="00040000" w:csb1="00000000"/>
  </w:font>
  <w:font w:name="MicrosoftYaHei-Bold">
    <w:altName w:val="宋体"/>
    <w:panose1 w:val="00000000000000000000"/>
    <w:charset w:val="86"/>
    <w:family w:val="auto"/>
    <w:pitch w:val="default"/>
    <w:sig w:usb0="00000000" w:usb1="00000000" w:usb2="00000010" w:usb3="00000000" w:csb0="00040000" w:csb1="00000000"/>
  </w:font>
  <w:font w:name="MicrosoftYaHei">
    <w:altName w:val="宋体"/>
    <w:panose1 w:val="00000000000000000000"/>
    <w:charset w:val="86"/>
    <w:family w:val="auto"/>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2BC4"/>
    <w:multiLevelType w:val="singleLevel"/>
    <w:tmpl w:val="58DB2BC4"/>
    <w:lvl w:ilvl="0" w:tentative="0">
      <w:start w:val="2"/>
      <w:numFmt w:val="chineseCounting"/>
      <w:suff w:val="nothing"/>
      <w:lvlText w:val="（%1）"/>
      <w:lvlJc w:val="left"/>
      <w:rPr>
        <w:rFonts w:cs="Times New Roman"/>
      </w:rPr>
    </w:lvl>
  </w:abstractNum>
  <w:abstractNum w:abstractNumId="1">
    <w:nsid w:val="58DB2E09"/>
    <w:multiLevelType w:val="singleLevel"/>
    <w:tmpl w:val="58DB2E09"/>
    <w:lvl w:ilvl="0" w:tentative="0">
      <w:start w:val="2"/>
      <w:numFmt w:val="decimal"/>
      <w:suff w:val="nothing"/>
      <w:lvlText w:val="%1."/>
      <w:lvlJc w:val="left"/>
      <w:rPr>
        <w:rFonts w:cs="Times New Roman"/>
      </w:rPr>
    </w:lvl>
  </w:abstractNum>
  <w:abstractNum w:abstractNumId="2">
    <w:nsid w:val="58DB31A2"/>
    <w:multiLevelType w:val="singleLevel"/>
    <w:tmpl w:val="58DB31A2"/>
    <w:lvl w:ilvl="0" w:tentative="0">
      <w:start w:val="1"/>
      <w:numFmt w:val="decimal"/>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74D1148"/>
    <w:rsid w:val="000228E4"/>
    <w:rsid w:val="00110209"/>
    <w:rsid w:val="00112110"/>
    <w:rsid w:val="001661AF"/>
    <w:rsid w:val="0016735F"/>
    <w:rsid w:val="00284B57"/>
    <w:rsid w:val="00324B21"/>
    <w:rsid w:val="003F3190"/>
    <w:rsid w:val="0045710D"/>
    <w:rsid w:val="004941D9"/>
    <w:rsid w:val="005B643E"/>
    <w:rsid w:val="006340FD"/>
    <w:rsid w:val="006A62C9"/>
    <w:rsid w:val="006E2BF1"/>
    <w:rsid w:val="006F19CF"/>
    <w:rsid w:val="00725BD0"/>
    <w:rsid w:val="008456AF"/>
    <w:rsid w:val="008B5E1C"/>
    <w:rsid w:val="00907257"/>
    <w:rsid w:val="00910568"/>
    <w:rsid w:val="009E0E68"/>
    <w:rsid w:val="00B70F2F"/>
    <w:rsid w:val="00B73930"/>
    <w:rsid w:val="00B77B84"/>
    <w:rsid w:val="00BA4286"/>
    <w:rsid w:val="00BB0AA1"/>
    <w:rsid w:val="00BC516B"/>
    <w:rsid w:val="00D1516F"/>
    <w:rsid w:val="00D31FC2"/>
    <w:rsid w:val="00D43549"/>
    <w:rsid w:val="00DC5F30"/>
    <w:rsid w:val="00E74BD2"/>
    <w:rsid w:val="00EA1021"/>
    <w:rsid w:val="00F61573"/>
    <w:rsid w:val="00F65807"/>
    <w:rsid w:val="24B56706"/>
    <w:rsid w:val="31910630"/>
    <w:rsid w:val="6AE5782E"/>
    <w:rsid w:val="774D114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eastAsia="仿宋_GB2312"/>
      <w:kern w:val="2"/>
      <w:sz w:val="18"/>
      <w:szCs w:val="18"/>
    </w:rPr>
  </w:style>
  <w:style w:type="character" w:customStyle="1" w:styleId="7">
    <w:name w:val="页脚 Char"/>
    <w:basedOn w:val="4"/>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4</Pages>
  <Words>1382</Words>
  <Characters>79</Characters>
  <Lines>1</Lines>
  <Paragraphs>2</Paragraphs>
  <ScaleCrop>false</ScaleCrop>
  <LinksUpToDate>false</LinksUpToDate>
  <CharactersWithSpaces>1459</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2017-04-15T07:42:00Z</dcterms:created>
  <dc:creator>Administrator</dc:creator>
  <cp:lastModifiedBy>Administrator</cp:lastModifiedBy>
  <cp:lastPrinted>2017-04-19T06:58:00Z</cp:lastPrinted>
  <dcterms:modified xsi:type="dcterms:W3CDTF">2017-04-20T01:15:31Z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